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A8B" w:rsidRPr="00647644" w:rsidRDefault="008C0A8B" w:rsidP="008C0A8B">
      <w:pPr>
        <w:jc w:val="center"/>
        <w:rPr>
          <w:rFonts w:ascii="Verdana" w:hAnsi="Verdana"/>
          <w:lang w:val="es-MX"/>
        </w:rPr>
      </w:pPr>
    </w:p>
    <w:p w:rsidR="008C0A8B" w:rsidRPr="002801F2" w:rsidRDefault="008C0A8B" w:rsidP="008C0A8B">
      <w:pPr>
        <w:jc w:val="center"/>
        <w:rPr>
          <w:rFonts w:ascii="Verdana" w:hAnsi="Verdana"/>
          <w:b/>
          <w:sz w:val="22"/>
          <w:szCs w:val="22"/>
          <w:lang w:val="es-MX"/>
        </w:rPr>
      </w:pPr>
      <w:r>
        <w:rPr>
          <w:rFonts w:ascii="Verdana" w:hAnsi="Verdana"/>
          <w:b/>
          <w:sz w:val="22"/>
          <w:szCs w:val="22"/>
          <w:lang w:val="es-MX"/>
        </w:rPr>
        <w:t xml:space="preserve">RESOLUCION N. </w:t>
      </w:r>
      <w:bookmarkStart w:id="0" w:name="_GoBack"/>
      <w:r>
        <w:rPr>
          <w:rFonts w:ascii="Verdana" w:hAnsi="Verdana"/>
          <w:b/>
          <w:sz w:val="22"/>
          <w:szCs w:val="22"/>
          <w:lang w:val="es-MX"/>
        </w:rPr>
        <w:t>TAT-</w:t>
      </w:r>
      <w:r w:rsidR="00485B6D">
        <w:rPr>
          <w:rFonts w:ascii="Verdana" w:hAnsi="Verdana"/>
          <w:b/>
          <w:sz w:val="22"/>
          <w:szCs w:val="22"/>
          <w:lang w:val="es-MX"/>
        </w:rPr>
        <w:t>2961</w:t>
      </w:r>
      <w:r>
        <w:rPr>
          <w:rFonts w:ascii="Verdana" w:hAnsi="Verdana"/>
          <w:b/>
          <w:sz w:val="22"/>
          <w:szCs w:val="22"/>
          <w:lang w:val="es-MX"/>
        </w:rPr>
        <w:t>-2016</w:t>
      </w:r>
      <w:bookmarkEnd w:id="0"/>
    </w:p>
    <w:p w:rsidR="008C0A8B" w:rsidRPr="00884746" w:rsidRDefault="008C0A8B" w:rsidP="008C0A8B">
      <w:pPr>
        <w:jc w:val="center"/>
        <w:rPr>
          <w:rFonts w:ascii="Verdana" w:hAnsi="Verdana"/>
          <w:sz w:val="22"/>
          <w:szCs w:val="22"/>
          <w:lang w:val="es-MX"/>
        </w:rPr>
      </w:pPr>
    </w:p>
    <w:p w:rsidR="008C0A8B" w:rsidRPr="00884746" w:rsidRDefault="008C0A8B" w:rsidP="008C0A8B">
      <w:pPr>
        <w:jc w:val="center"/>
        <w:rPr>
          <w:rFonts w:ascii="Verdana" w:hAnsi="Verdana"/>
          <w:sz w:val="22"/>
          <w:szCs w:val="22"/>
        </w:rPr>
      </w:pPr>
    </w:p>
    <w:p w:rsidR="008C0A8B" w:rsidRPr="00884746" w:rsidRDefault="008C0A8B" w:rsidP="008C0A8B">
      <w:pPr>
        <w:jc w:val="both"/>
        <w:rPr>
          <w:rFonts w:ascii="Verdana" w:hAnsi="Verdana"/>
          <w:sz w:val="22"/>
          <w:szCs w:val="22"/>
        </w:rPr>
      </w:pPr>
      <w:r w:rsidRPr="00884746">
        <w:rPr>
          <w:rFonts w:ascii="Verdana" w:hAnsi="Verdana"/>
          <w:b/>
          <w:sz w:val="22"/>
          <w:szCs w:val="22"/>
        </w:rPr>
        <w:t xml:space="preserve">TRIBUNAL ADMINISTRATIVO DE TRANSPORTE.  </w:t>
      </w:r>
      <w:r w:rsidR="00485B6D">
        <w:rPr>
          <w:rFonts w:ascii="Verdana" w:hAnsi="Verdana"/>
          <w:sz w:val="22"/>
          <w:szCs w:val="22"/>
        </w:rPr>
        <w:t xml:space="preserve">San José, a las diez horas cuarenta y cinco minutos del treinta y uno de marzo </w:t>
      </w:r>
      <w:r>
        <w:rPr>
          <w:rFonts w:ascii="Verdana" w:hAnsi="Verdana"/>
          <w:sz w:val="22"/>
          <w:szCs w:val="22"/>
        </w:rPr>
        <w:t>de dos mil dieciséis.</w:t>
      </w:r>
    </w:p>
    <w:p w:rsidR="008C0A8B" w:rsidRPr="00884746" w:rsidRDefault="008C0A8B" w:rsidP="008C0A8B">
      <w:pPr>
        <w:jc w:val="both"/>
        <w:rPr>
          <w:rFonts w:ascii="Verdana" w:hAnsi="Verdana"/>
          <w:b/>
          <w:sz w:val="22"/>
          <w:szCs w:val="22"/>
        </w:rPr>
      </w:pPr>
    </w:p>
    <w:p w:rsidR="008C0A8B" w:rsidRPr="00884746" w:rsidRDefault="008C0A8B" w:rsidP="008C0A8B">
      <w:pPr>
        <w:jc w:val="both"/>
        <w:rPr>
          <w:rFonts w:ascii="Verdana" w:hAnsi="Verdana"/>
          <w:b/>
          <w:sz w:val="22"/>
          <w:szCs w:val="22"/>
        </w:rPr>
      </w:pPr>
      <w:r w:rsidRPr="008C0A8B">
        <w:rPr>
          <w:rFonts w:ascii="Verdana" w:hAnsi="Verdana"/>
          <w:b/>
          <w:smallCaps/>
          <w:sz w:val="22"/>
          <w:szCs w:val="22"/>
        </w:rPr>
        <w:t>Recurso de Apelación En Subsidio y Nulidad concomitante</w:t>
      </w:r>
      <w:r w:rsidRPr="00884746">
        <w:rPr>
          <w:rFonts w:ascii="Verdana" w:hAnsi="Verdana"/>
          <w:smallCaps/>
          <w:sz w:val="22"/>
          <w:szCs w:val="22"/>
        </w:rPr>
        <w:t xml:space="preserve">, </w:t>
      </w:r>
      <w:r w:rsidRPr="00884746">
        <w:rPr>
          <w:rFonts w:ascii="Verdana" w:hAnsi="Verdana"/>
          <w:sz w:val="22"/>
          <w:szCs w:val="22"/>
        </w:rPr>
        <w:t xml:space="preserve">interpuesto por el señor </w:t>
      </w:r>
      <w:r w:rsidR="00B4497B">
        <w:rPr>
          <w:rFonts w:ascii="Verdana" w:hAnsi="Verdana"/>
          <w:b/>
          <w:smallCaps/>
          <w:sz w:val="22"/>
          <w:szCs w:val="22"/>
        </w:rPr>
        <w:t>J.S.J.</w:t>
      </w:r>
      <w:r w:rsidR="00A13D85" w:rsidRPr="00884746">
        <w:rPr>
          <w:rFonts w:ascii="Verdana" w:hAnsi="Verdana"/>
          <w:sz w:val="22"/>
          <w:szCs w:val="22"/>
        </w:rPr>
        <w:t>, en</w:t>
      </w:r>
      <w:r w:rsidRPr="00884746">
        <w:rPr>
          <w:rFonts w:ascii="Verdana" w:hAnsi="Verdana"/>
          <w:sz w:val="22"/>
          <w:szCs w:val="22"/>
        </w:rPr>
        <w:t xml:space="preserve"> su condición de concesionario </w:t>
      </w:r>
      <w:r w:rsidR="00A13D85" w:rsidRPr="00884746">
        <w:rPr>
          <w:rFonts w:ascii="Verdana" w:hAnsi="Verdana"/>
          <w:sz w:val="22"/>
          <w:szCs w:val="22"/>
        </w:rPr>
        <w:t>de la</w:t>
      </w:r>
      <w:r w:rsidRPr="00884746">
        <w:rPr>
          <w:rFonts w:ascii="Verdana" w:hAnsi="Verdana"/>
          <w:sz w:val="22"/>
          <w:szCs w:val="22"/>
        </w:rPr>
        <w:t xml:space="preserve"> placa de </w:t>
      </w:r>
      <w:r w:rsidR="00A13D85" w:rsidRPr="00884746">
        <w:rPr>
          <w:rFonts w:ascii="Verdana" w:hAnsi="Verdana"/>
          <w:sz w:val="22"/>
          <w:szCs w:val="22"/>
        </w:rPr>
        <w:t>taxi</w:t>
      </w:r>
      <w:r w:rsidR="00A13D85" w:rsidRPr="00884746">
        <w:rPr>
          <w:rFonts w:ascii="Verdana" w:hAnsi="Verdana"/>
          <w:smallCaps/>
          <w:sz w:val="22"/>
          <w:szCs w:val="22"/>
        </w:rPr>
        <w:t xml:space="preserve"> </w:t>
      </w:r>
      <w:r w:rsidR="00B4497B">
        <w:rPr>
          <w:rFonts w:ascii="Verdana" w:hAnsi="Verdana"/>
          <w:smallCaps/>
          <w:sz w:val="22"/>
          <w:szCs w:val="22"/>
        </w:rPr>
        <w:t>XXX</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5B0F8B">
        <w:rPr>
          <w:rFonts w:ascii="Verdana" w:hAnsi="Verdana"/>
          <w:b/>
          <w:sz w:val="22"/>
          <w:szCs w:val="22"/>
        </w:rPr>
        <w:t xml:space="preserve">Artículo </w:t>
      </w:r>
      <w:r w:rsidR="00A13D85">
        <w:rPr>
          <w:rFonts w:ascii="Verdana" w:hAnsi="Verdana"/>
          <w:b/>
          <w:sz w:val="22"/>
          <w:szCs w:val="22"/>
        </w:rPr>
        <w:t>7.2.8</w:t>
      </w:r>
      <w:r w:rsidR="00A13D85" w:rsidRPr="005B0F8B">
        <w:rPr>
          <w:rFonts w:ascii="Verdana" w:hAnsi="Verdana"/>
          <w:b/>
          <w:sz w:val="22"/>
          <w:szCs w:val="22"/>
        </w:rPr>
        <w:t xml:space="preserve"> de</w:t>
      </w:r>
      <w:r w:rsidRPr="005B0F8B">
        <w:rPr>
          <w:rFonts w:ascii="Verdana" w:hAnsi="Verdana"/>
          <w:b/>
          <w:sz w:val="22"/>
          <w:szCs w:val="22"/>
        </w:rPr>
        <w:t xml:space="preserve"> la Sesión Ordinaria </w:t>
      </w:r>
      <w:r w:rsidR="005B0F8B">
        <w:rPr>
          <w:rFonts w:ascii="Verdana" w:hAnsi="Verdana"/>
          <w:b/>
          <w:sz w:val="22"/>
          <w:szCs w:val="22"/>
        </w:rPr>
        <w:t>61-2015 de 4 de noviembre de 2015</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sidR="005B0F8B">
        <w:rPr>
          <w:rFonts w:ascii="Verdana" w:hAnsi="Verdana"/>
          <w:b/>
          <w:sz w:val="22"/>
          <w:szCs w:val="22"/>
        </w:rPr>
        <w:t>011</w:t>
      </w:r>
      <w:r w:rsidRPr="00884746">
        <w:rPr>
          <w:rFonts w:ascii="Verdana" w:hAnsi="Verdana"/>
          <w:b/>
          <w:sz w:val="22"/>
          <w:szCs w:val="22"/>
        </w:rPr>
        <w:t>-1</w:t>
      </w:r>
      <w:r w:rsidR="005B0F8B">
        <w:rPr>
          <w:rFonts w:ascii="Verdana" w:hAnsi="Verdana"/>
          <w:b/>
          <w:sz w:val="22"/>
          <w:szCs w:val="22"/>
        </w:rPr>
        <w:t>6</w:t>
      </w:r>
      <w:r w:rsidRPr="00884746">
        <w:rPr>
          <w:rFonts w:ascii="Verdana" w:hAnsi="Verdana"/>
          <w:b/>
          <w:sz w:val="22"/>
          <w:szCs w:val="22"/>
        </w:rPr>
        <w:t>.</w:t>
      </w:r>
    </w:p>
    <w:p w:rsidR="008C0A8B" w:rsidRPr="00884746" w:rsidRDefault="008C0A8B" w:rsidP="008C0A8B">
      <w:pPr>
        <w:jc w:val="center"/>
        <w:rPr>
          <w:rFonts w:ascii="Verdana" w:hAnsi="Verdana"/>
          <w:sz w:val="22"/>
          <w:szCs w:val="22"/>
          <w:lang w:val="es-MX"/>
        </w:rPr>
      </w:pPr>
    </w:p>
    <w:p w:rsidR="008C0A8B" w:rsidRPr="00884746" w:rsidRDefault="008C0A8B" w:rsidP="008C0A8B">
      <w:pPr>
        <w:jc w:val="center"/>
        <w:rPr>
          <w:rFonts w:ascii="Verdana" w:hAnsi="Verdana"/>
          <w:sz w:val="22"/>
          <w:szCs w:val="22"/>
          <w:lang w:val="es-MX"/>
        </w:rPr>
      </w:pPr>
    </w:p>
    <w:p w:rsidR="008C0A8B" w:rsidRPr="00884746" w:rsidRDefault="008C0A8B" w:rsidP="008C0A8B">
      <w:pPr>
        <w:jc w:val="center"/>
        <w:rPr>
          <w:rFonts w:ascii="Verdana" w:hAnsi="Verdana"/>
          <w:b/>
          <w:sz w:val="22"/>
          <w:szCs w:val="22"/>
          <w:lang w:val="es-MX"/>
        </w:rPr>
      </w:pPr>
      <w:r w:rsidRPr="00884746">
        <w:rPr>
          <w:rFonts w:ascii="Verdana" w:hAnsi="Verdana"/>
          <w:b/>
          <w:sz w:val="22"/>
          <w:szCs w:val="22"/>
          <w:lang w:val="es-MX"/>
        </w:rPr>
        <w:t>RESULTANDO</w:t>
      </w:r>
    </w:p>
    <w:p w:rsidR="008C0A8B" w:rsidRPr="00884746" w:rsidRDefault="008C0A8B" w:rsidP="008C0A8B">
      <w:pPr>
        <w:jc w:val="center"/>
        <w:rPr>
          <w:rFonts w:ascii="Verdana" w:hAnsi="Verdana"/>
          <w:b/>
          <w:sz w:val="22"/>
          <w:szCs w:val="22"/>
          <w:lang w:val="es-MX"/>
        </w:rPr>
      </w:pPr>
    </w:p>
    <w:p w:rsidR="008C0A8B" w:rsidRPr="00884746" w:rsidRDefault="008C0A8B" w:rsidP="008C0A8B">
      <w:pPr>
        <w:jc w:val="both"/>
        <w:rPr>
          <w:rFonts w:ascii="Verdana" w:hAnsi="Verdana"/>
          <w:sz w:val="22"/>
          <w:szCs w:val="22"/>
          <w:lang w:val="es-MX"/>
        </w:rPr>
      </w:pPr>
    </w:p>
    <w:p w:rsidR="008C0A8B" w:rsidRPr="00884746" w:rsidRDefault="008C0A8B" w:rsidP="008C0A8B">
      <w:pPr>
        <w:jc w:val="both"/>
        <w:rPr>
          <w:rFonts w:ascii="Verdana" w:hAnsi="Verdana"/>
          <w:sz w:val="22"/>
          <w:szCs w:val="22"/>
          <w:lang w:val="es-MX"/>
        </w:rPr>
      </w:pPr>
      <w:r w:rsidRPr="00884746">
        <w:rPr>
          <w:rFonts w:ascii="Verdana" w:hAnsi="Verdana"/>
          <w:b/>
          <w:sz w:val="22"/>
          <w:szCs w:val="22"/>
          <w:lang w:val="es-MX"/>
        </w:rPr>
        <w:t>PRIMERO:</w:t>
      </w:r>
      <w:r w:rsidRPr="00884746">
        <w:rPr>
          <w:rFonts w:ascii="Verdana" w:hAnsi="Verdana"/>
          <w:sz w:val="22"/>
          <w:szCs w:val="22"/>
          <w:lang w:val="es-MX"/>
        </w:rPr>
        <w:t xml:space="preserve"> </w:t>
      </w:r>
      <w:r w:rsidRPr="00884746">
        <w:rPr>
          <w:rFonts w:ascii="Verdana" w:hAnsi="Verdana"/>
          <w:sz w:val="22"/>
          <w:szCs w:val="22"/>
        </w:rPr>
        <w:t xml:space="preserve">La </w:t>
      </w:r>
      <w:r w:rsidRPr="00884746">
        <w:rPr>
          <w:rFonts w:ascii="Verdana" w:hAnsi="Verdana"/>
          <w:smallCaps/>
          <w:sz w:val="22"/>
          <w:szCs w:val="22"/>
        </w:rPr>
        <w:t>Junta Directiva del Consejo de Transporte Público</w:t>
      </w:r>
      <w:r w:rsidRPr="00884746">
        <w:rPr>
          <w:rFonts w:ascii="Verdana" w:hAnsi="Verdana"/>
          <w:sz w:val="22"/>
          <w:szCs w:val="22"/>
        </w:rPr>
        <w:t xml:space="preserve"> dispuso </w:t>
      </w:r>
      <w:r>
        <w:rPr>
          <w:rFonts w:ascii="Verdana" w:hAnsi="Verdana"/>
          <w:sz w:val="22"/>
          <w:szCs w:val="22"/>
        </w:rPr>
        <w:t xml:space="preserve">en el acuerdo impugnado, </w:t>
      </w:r>
      <w:r w:rsidR="005B3DE6">
        <w:rPr>
          <w:rFonts w:ascii="Verdana" w:hAnsi="Verdana"/>
          <w:sz w:val="22"/>
          <w:szCs w:val="22"/>
        </w:rPr>
        <w:t>aprobar</w:t>
      </w:r>
      <w:r w:rsidR="0053523D">
        <w:rPr>
          <w:rFonts w:ascii="Verdana" w:hAnsi="Verdana"/>
          <w:sz w:val="22"/>
          <w:szCs w:val="22"/>
        </w:rPr>
        <w:t xml:space="preserve"> el informe </w:t>
      </w:r>
      <w:r w:rsidR="00F72550">
        <w:rPr>
          <w:rFonts w:ascii="Verdana" w:hAnsi="Verdana"/>
          <w:sz w:val="22"/>
          <w:szCs w:val="22"/>
        </w:rPr>
        <w:t xml:space="preserve">jurídico </w:t>
      </w:r>
      <w:r w:rsidR="007F3FA8">
        <w:rPr>
          <w:rFonts w:ascii="Verdana" w:hAnsi="Verdana"/>
          <w:sz w:val="22"/>
          <w:szCs w:val="22"/>
        </w:rPr>
        <w:t>de recomendación final del procedimiento administrativo de caducidad de la</w:t>
      </w:r>
      <w:r w:rsidR="002E0F64">
        <w:rPr>
          <w:rFonts w:ascii="Verdana" w:hAnsi="Verdana"/>
          <w:sz w:val="22"/>
          <w:szCs w:val="22"/>
        </w:rPr>
        <w:t xml:space="preserve"> concesión de </w:t>
      </w:r>
      <w:r w:rsidR="00A13D85">
        <w:rPr>
          <w:rFonts w:ascii="Verdana" w:hAnsi="Verdana"/>
          <w:sz w:val="22"/>
          <w:szCs w:val="22"/>
        </w:rPr>
        <w:t>la placa</w:t>
      </w:r>
      <w:r w:rsidR="007F3FA8">
        <w:rPr>
          <w:rFonts w:ascii="Verdana" w:hAnsi="Verdana"/>
          <w:sz w:val="22"/>
          <w:szCs w:val="22"/>
        </w:rPr>
        <w:t xml:space="preserve"> de Taxi </w:t>
      </w:r>
      <w:r w:rsidR="00A13D85">
        <w:rPr>
          <w:rFonts w:ascii="Verdana" w:hAnsi="Verdana"/>
          <w:sz w:val="22"/>
          <w:szCs w:val="22"/>
        </w:rPr>
        <w:t xml:space="preserve">número </w:t>
      </w:r>
      <w:r w:rsidR="00B4497B">
        <w:rPr>
          <w:rFonts w:ascii="Verdana" w:hAnsi="Verdana"/>
          <w:sz w:val="22"/>
          <w:szCs w:val="22"/>
        </w:rPr>
        <w:t>XXX</w:t>
      </w:r>
      <w:r w:rsidR="00A13D85">
        <w:rPr>
          <w:rFonts w:ascii="Verdana" w:hAnsi="Verdana"/>
          <w:sz w:val="22"/>
          <w:szCs w:val="22"/>
        </w:rPr>
        <w:t>, que</w:t>
      </w:r>
      <w:r w:rsidR="007F3FA8">
        <w:rPr>
          <w:rFonts w:ascii="Verdana" w:hAnsi="Verdana"/>
          <w:sz w:val="22"/>
          <w:szCs w:val="22"/>
        </w:rPr>
        <w:t xml:space="preserve"> </w:t>
      </w:r>
      <w:r w:rsidR="00A13D85">
        <w:rPr>
          <w:rFonts w:ascii="Verdana" w:hAnsi="Verdana"/>
          <w:sz w:val="22"/>
          <w:szCs w:val="22"/>
        </w:rPr>
        <w:t>realizara la</w:t>
      </w:r>
      <w:r w:rsidR="00F72550">
        <w:rPr>
          <w:rFonts w:ascii="Verdana" w:hAnsi="Verdana"/>
          <w:sz w:val="22"/>
          <w:szCs w:val="22"/>
        </w:rPr>
        <w:t xml:space="preserve"> Dirección de Asuntos Jurídicos </w:t>
      </w:r>
      <w:r w:rsidR="002E0F64">
        <w:rPr>
          <w:rFonts w:ascii="Verdana" w:hAnsi="Verdana"/>
          <w:sz w:val="22"/>
          <w:szCs w:val="22"/>
        </w:rPr>
        <w:t>en oficio</w:t>
      </w:r>
      <w:r w:rsidR="0053523D">
        <w:rPr>
          <w:rFonts w:ascii="Verdana" w:hAnsi="Verdana"/>
          <w:sz w:val="22"/>
          <w:szCs w:val="22"/>
        </w:rPr>
        <w:t xml:space="preserve"> </w:t>
      </w:r>
      <w:r w:rsidR="0053523D" w:rsidRPr="00F72550">
        <w:rPr>
          <w:rFonts w:ascii="Verdana" w:hAnsi="Verdana"/>
          <w:b/>
          <w:sz w:val="22"/>
          <w:szCs w:val="22"/>
        </w:rPr>
        <w:t>DAJ-</w:t>
      </w:r>
      <w:r w:rsidR="00F72550" w:rsidRPr="00F72550">
        <w:rPr>
          <w:rFonts w:ascii="Verdana" w:hAnsi="Verdana"/>
          <w:b/>
          <w:sz w:val="22"/>
          <w:szCs w:val="22"/>
        </w:rPr>
        <w:t>2015</w:t>
      </w:r>
      <w:r w:rsidR="0053523D" w:rsidRPr="00F72550">
        <w:rPr>
          <w:rFonts w:ascii="Verdana" w:hAnsi="Verdana"/>
          <w:b/>
          <w:sz w:val="22"/>
          <w:szCs w:val="22"/>
        </w:rPr>
        <w:t>003733</w:t>
      </w:r>
      <w:r w:rsidR="00F72550" w:rsidRPr="00F72550">
        <w:rPr>
          <w:rFonts w:ascii="Verdana" w:hAnsi="Verdana"/>
          <w:b/>
          <w:sz w:val="22"/>
          <w:szCs w:val="22"/>
        </w:rPr>
        <w:t xml:space="preserve"> de 30 de octubre de 2015</w:t>
      </w:r>
      <w:r w:rsidR="00F72550">
        <w:rPr>
          <w:rFonts w:ascii="Verdana" w:hAnsi="Verdana"/>
          <w:b/>
          <w:sz w:val="22"/>
          <w:szCs w:val="22"/>
        </w:rPr>
        <w:t>,</w:t>
      </w:r>
      <w:r w:rsidR="00F72550">
        <w:rPr>
          <w:rFonts w:ascii="Verdana" w:hAnsi="Verdana"/>
          <w:sz w:val="22"/>
          <w:szCs w:val="22"/>
        </w:rPr>
        <w:t xml:space="preserve"> </w:t>
      </w:r>
      <w:r w:rsidR="002E0F64">
        <w:rPr>
          <w:rFonts w:ascii="Verdana" w:hAnsi="Verdana"/>
          <w:sz w:val="22"/>
          <w:szCs w:val="22"/>
        </w:rPr>
        <w:t>y se dispone la caducidad de la concesión</w:t>
      </w:r>
      <w:r w:rsidR="00643C1B">
        <w:rPr>
          <w:rFonts w:ascii="Verdana" w:hAnsi="Verdana"/>
          <w:sz w:val="22"/>
          <w:szCs w:val="22"/>
        </w:rPr>
        <w:t xml:space="preserve"> indicada </w:t>
      </w:r>
      <w:r w:rsidR="00A13D85">
        <w:rPr>
          <w:rFonts w:ascii="Verdana" w:hAnsi="Verdana"/>
          <w:sz w:val="22"/>
          <w:szCs w:val="22"/>
        </w:rPr>
        <w:t>por el</w:t>
      </w:r>
      <w:r w:rsidR="00516428">
        <w:rPr>
          <w:rFonts w:ascii="Verdana" w:hAnsi="Verdana"/>
          <w:sz w:val="22"/>
          <w:szCs w:val="22"/>
        </w:rPr>
        <w:t xml:space="preserve"> no pago de la respectiva Póliza de Seguro </w:t>
      </w:r>
      <w:r w:rsidR="00E00B9D">
        <w:rPr>
          <w:rFonts w:ascii="Verdana" w:hAnsi="Verdana"/>
          <w:sz w:val="22"/>
          <w:szCs w:val="22"/>
        </w:rPr>
        <w:t xml:space="preserve">del INS </w:t>
      </w:r>
      <w:r w:rsidR="00516428">
        <w:rPr>
          <w:rFonts w:ascii="Verdana" w:hAnsi="Verdana"/>
          <w:sz w:val="22"/>
          <w:szCs w:val="22"/>
        </w:rPr>
        <w:t>al vehículo que ampara la concesión.  (</w:t>
      </w:r>
      <w:r w:rsidR="00E00B9D">
        <w:rPr>
          <w:rFonts w:ascii="Verdana" w:hAnsi="Verdana"/>
          <w:sz w:val="22"/>
          <w:szCs w:val="22"/>
        </w:rPr>
        <w:t>Léanse</w:t>
      </w:r>
      <w:r w:rsidR="00516428">
        <w:rPr>
          <w:rFonts w:ascii="Verdana" w:hAnsi="Verdana"/>
          <w:sz w:val="22"/>
          <w:szCs w:val="22"/>
        </w:rPr>
        <w:t xml:space="preserve"> folios</w:t>
      </w:r>
      <w:r w:rsidR="0036724F">
        <w:rPr>
          <w:rFonts w:ascii="Verdana" w:hAnsi="Verdana"/>
          <w:sz w:val="22"/>
          <w:szCs w:val="22"/>
        </w:rPr>
        <w:t xml:space="preserve"> del 62 al 64 del expediente administrativo)</w:t>
      </w:r>
      <w:r w:rsidRPr="00884746">
        <w:rPr>
          <w:rFonts w:ascii="Verdana" w:hAnsi="Verdana"/>
          <w:sz w:val="22"/>
          <w:szCs w:val="22"/>
          <w:lang w:val="es-MX"/>
        </w:rPr>
        <w:t xml:space="preserve"> </w:t>
      </w:r>
    </w:p>
    <w:p w:rsidR="008C0A8B" w:rsidRPr="00647644" w:rsidRDefault="008C0A8B" w:rsidP="008C0A8B">
      <w:pPr>
        <w:ind w:left="567" w:right="567"/>
        <w:jc w:val="both"/>
        <w:rPr>
          <w:rFonts w:ascii="Verdana" w:hAnsi="Verdana"/>
          <w:b/>
          <w:bCs/>
          <w:i/>
          <w:sz w:val="20"/>
          <w:szCs w:val="20"/>
        </w:rPr>
      </w:pPr>
    </w:p>
    <w:p w:rsidR="008C0A8B" w:rsidRDefault="008C0A8B" w:rsidP="008C0A8B">
      <w:pPr>
        <w:jc w:val="both"/>
        <w:rPr>
          <w:rFonts w:ascii="Verdana" w:hAnsi="Verdana"/>
          <w:sz w:val="22"/>
          <w:szCs w:val="22"/>
        </w:rPr>
      </w:pPr>
      <w:r w:rsidRPr="00884746">
        <w:rPr>
          <w:rFonts w:ascii="Verdana" w:hAnsi="Verdana"/>
          <w:b/>
          <w:sz w:val="22"/>
          <w:szCs w:val="22"/>
          <w:lang w:val="es-MX"/>
        </w:rPr>
        <w:t xml:space="preserve">SEGUNDO: </w:t>
      </w:r>
      <w:r w:rsidRPr="00884746">
        <w:rPr>
          <w:rFonts w:ascii="Verdana" w:hAnsi="Verdana"/>
          <w:sz w:val="22"/>
          <w:szCs w:val="22"/>
          <w:lang w:val="es-MX"/>
        </w:rPr>
        <w:t xml:space="preserve">El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lo siguiente</w:t>
      </w:r>
      <w:r>
        <w:rPr>
          <w:rFonts w:ascii="Verdana" w:hAnsi="Verdana"/>
          <w:sz w:val="22"/>
          <w:szCs w:val="22"/>
        </w:rPr>
        <w:t>:</w:t>
      </w:r>
    </w:p>
    <w:p w:rsidR="008C0A8B" w:rsidRPr="00884746" w:rsidRDefault="008C0A8B" w:rsidP="008C0A8B">
      <w:pPr>
        <w:jc w:val="both"/>
        <w:rPr>
          <w:rFonts w:ascii="Verdana" w:hAnsi="Verdana"/>
          <w:sz w:val="22"/>
          <w:szCs w:val="22"/>
          <w:lang w:val="es-MX"/>
        </w:rPr>
      </w:pPr>
    </w:p>
    <w:p w:rsidR="008C0A8B" w:rsidRPr="00884746" w:rsidRDefault="008C0A8B" w:rsidP="008C0A8B">
      <w:pPr>
        <w:jc w:val="both"/>
        <w:rPr>
          <w:rFonts w:ascii="Verdana" w:hAnsi="Verdana"/>
          <w:sz w:val="22"/>
          <w:szCs w:val="22"/>
          <w:lang w:val="es-MX"/>
        </w:rPr>
      </w:pPr>
      <w:r w:rsidRPr="00884746">
        <w:rPr>
          <w:rFonts w:ascii="Verdana" w:hAnsi="Verdana"/>
          <w:sz w:val="22"/>
          <w:szCs w:val="22"/>
          <w:lang w:val="es-MX"/>
        </w:rPr>
        <w:t xml:space="preserve">a)-  </w:t>
      </w:r>
      <w:r w:rsidR="003B5069">
        <w:rPr>
          <w:rFonts w:ascii="Verdana" w:hAnsi="Verdana"/>
          <w:sz w:val="22"/>
          <w:szCs w:val="22"/>
          <w:lang w:val="es-MX"/>
        </w:rPr>
        <w:t xml:space="preserve">Se encuentra disconforme </w:t>
      </w:r>
      <w:r w:rsidR="00A13D85">
        <w:rPr>
          <w:rFonts w:ascii="Verdana" w:hAnsi="Verdana"/>
          <w:sz w:val="22"/>
          <w:szCs w:val="22"/>
          <w:lang w:val="es-MX"/>
        </w:rPr>
        <w:t>con lo</w:t>
      </w:r>
      <w:r w:rsidR="003B5069">
        <w:rPr>
          <w:rFonts w:ascii="Verdana" w:hAnsi="Verdana"/>
          <w:sz w:val="22"/>
          <w:szCs w:val="22"/>
          <w:lang w:val="es-MX"/>
        </w:rPr>
        <w:t xml:space="preserve"> actuado por la Administración ya </w:t>
      </w:r>
      <w:r w:rsidR="00A13D85">
        <w:rPr>
          <w:rFonts w:ascii="Verdana" w:hAnsi="Verdana"/>
          <w:sz w:val="22"/>
          <w:szCs w:val="22"/>
          <w:lang w:val="es-MX"/>
        </w:rPr>
        <w:t>que se ha</w:t>
      </w:r>
      <w:r w:rsidR="003B5069">
        <w:rPr>
          <w:rFonts w:ascii="Verdana" w:hAnsi="Verdana"/>
          <w:sz w:val="22"/>
          <w:szCs w:val="22"/>
          <w:lang w:val="es-MX"/>
        </w:rPr>
        <w:t xml:space="preserve"> actuado por parte de la Administración de manera contraria a la normativa pues no se tomaron en cuenta varios aspectos tales como que es nuevo</w:t>
      </w:r>
      <w:r w:rsidR="003703E5">
        <w:rPr>
          <w:rFonts w:ascii="Verdana" w:hAnsi="Verdana"/>
          <w:sz w:val="22"/>
          <w:szCs w:val="22"/>
          <w:lang w:val="es-MX"/>
        </w:rPr>
        <w:t xml:space="preserve"> concesionario a partir del 30 de setiembre de 2014</w:t>
      </w:r>
      <w:r w:rsidRPr="00884746">
        <w:rPr>
          <w:rFonts w:ascii="Verdana" w:hAnsi="Verdana"/>
          <w:sz w:val="22"/>
          <w:szCs w:val="22"/>
          <w:lang w:val="es-MX"/>
        </w:rPr>
        <w:t>.</w:t>
      </w:r>
      <w:r w:rsidR="003703E5">
        <w:rPr>
          <w:rFonts w:ascii="Verdana" w:hAnsi="Verdana"/>
          <w:sz w:val="22"/>
          <w:szCs w:val="22"/>
          <w:lang w:val="es-MX"/>
        </w:rPr>
        <w:t xml:space="preserve">  El vehículo que ampraba la concesión de la placa </w:t>
      </w:r>
      <w:r w:rsidR="00B4497B">
        <w:rPr>
          <w:rFonts w:ascii="Verdana" w:hAnsi="Verdana"/>
          <w:sz w:val="22"/>
          <w:szCs w:val="22"/>
          <w:lang w:val="es-MX"/>
        </w:rPr>
        <w:t>XXX</w:t>
      </w:r>
      <w:r w:rsidR="003703E5">
        <w:rPr>
          <w:rFonts w:ascii="Verdana" w:hAnsi="Verdana"/>
          <w:sz w:val="22"/>
          <w:szCs w:val="22"/>
          <w:lang w:val="es-MX"/>
        </w:rPr>
        <w:t xml:space="preserve"> alcanzaba su vida útil el 31 de diciembre de 2014 y que sin la renovación que no se había concluido y debió estar terminada un año atrás, en ningún Banco</w:t>
      </w:r>
      <w:r w:rsidR="00A419AE">
        <w:rPr>
          <w:rFonts w:ascii="Verdana" w:hAnsi="Verdana"/>
          <w:sz w:val="22"/>
          <w:szCs w:val="22"/>
          <w:lang w:val="es-MX"/>
        </w:rPr>
        <w:t xml:space="preserve"> ni entidad financiera se le tenía como sujeto de crédito para adquirir una unidad nueva.  RITEVE, le certificó que</w:t>
      </w:r>
      <w:r w:rsidR="00D92809">
        <w:rPr>
          <w:rFonts w:ascii="Verdana" w:hAnsi="Verdana"/>
          <w:sz w:val="22"/>
          <w:szCs w:val="22"/>
          <w:lang w:val="es-MX"/>
        </w:rPr>
        <w:t xml:space="preserve"> la revisión </w:t>
      </w:r>
      <w:r w:rsidR="00A13D85">
        <w:rPr>
          <w:rFonts w:ascii="Verdana" w:hAnsi="Verdana"/>
          <w:sz w:val="22"/>
          <w:szCs w:val="22"/>
          <w:lang w:val="es-MX"/>
        </w:rPr>
        <w:t>técnica del</w:t>
      </w:r>
      <w:r w:rsidR="00A419AE">
        <w:rPr>
          <w:rFonts w:ascii="Verdana" w:hAnsi="Verdana"/>
          <w:sz w:val="22"/>
          <w:szCs w:val="22"/>
          <w:lang w:val="es-MX"/>
        </w:rPr>
        <w:t xml:space="preserve"> vehículo utilizado en la concesión solamente</w:t>
      </w:r>
      <w:r w:rsidR="003703E5">
        <w:rPr>
          <w:rFonts w:ascii="Verdana" w:hAnsi="Verdana"/>
          <w:sz w:val="22"/>
          <w:szCs w:val="22"/>
          <w:lang w:val="es-MX"/>
        </w:rPr>
        <w:t xml:space="preserve"> </w:t>
      </w:r>
      <w:r w:rsidR="00D92809">
        <w:rPr>
          <w:rFonts w:ascii="Verdana" w:hAnsi="Verdana"/>
          <w:sz w:val="22"/>
          <w:szCs w:val="22"/>
          <w:lang w:val="es-MX"/>
        </w:rPr>
        <w:t xml:space="preserve">tenía vigencia hasta el 31 de mayo de 2015 lo cual solo se podía interpretar como una venia para prestar el servicio con ese vehículo hasta esa fecha. </w:t>
      </w:r>
      <w:r w:rsidR="001344CA">
        <w:rPr>
          <w:rFonts w:ascii="Verdana" w:hAnsi="Verdana"/>
          <w:sz w:val="22"/>
          <w:szCs w:val="22"/>
          <w:lang w:val="es-MX"/>
        </w:rPr>
        <w:t xml:space="preserve">  Se presentó al INS de Heredia a pagar la renovación de la Póliza y se le indicó que por tener RITEVE vencida no podían recibir el pago. </w:t>
      </w:r>
      <w:r w:rsidR="0024079A">
        <w:rPr>
          <w:rFonts w:ascii="Verdana" w:hAnsi="Verdana"/>
          <w:sz w:val="22"/>
          <w:szCs w:val="22"/>
          <w:lang w:val="es-MX"/>
        </w:rPr>
        <w:t xml:space="preserve"> Entendiendo que tenía hasta mayo 2015 para hacer el cambio de unidad inicio los </w:t>
      </w:r>
      <w:r w:rsidR="000162E7">
        <w:rPr>
          <w:rFonts w:ascii="Verdana" w:hAnsi="Verdana"/>
          <w:sz w:val="22"/>
          <w:szCs w:val="22"/>
          <w:lang w:val="es-MX"/>
        </w:rPr>
        <w:t>tramites de</w:t>
      </w:r>
      <w:r w:rsidR="0024079A">
        <w:rPr>
          <w:rFonts w:ascii="Verdana" w:hAnsi="Verdana"/>
          <w:sz w:val="22"/>
          <w:szCs w:val="22"/>
          <w:lang w:val="es-MX"/>
        </w:rPr>
        <w:t xml:space="preserve"> compra de un nuevo vehículo meses antes, sin </w:t>
      </w:r>
      <w:r w:rsidR="000162E7">
        <w:rPr>
          <w:rFonts w:ascii="Verdana" w:hAnsi="Verdana"/>
          <w:sz w:val="22"/>
          <w:szCs w:val="22"/>
          <w:lang w:val="es-MX"/>
        </w:rPr>
        <w:t>embargo,</w:t>
      </w:r>
      <w:r w:rsidR="0024079A">
        <w:rPr>
          <w:rFonts w:ascii="Verdana" w:hAnsi="Verdana"/>
          <w:sz w:val="22"/>
          <w:szCs w:val="22"/>
          <w:lang w:val="es-MX"/>
        </w:rPr>
        <w:t xml:space="preserve"> la compra del mismo fue a través de una financiera</w:t>
      </w:r>
      <w:r w:rsidR="000162E7">
        <w:rPr>
          <w:rFonts w:ascii="Verdana" w:hAnsi="Verdana"/>
          <w:sz w:val="22"/>
          <w:szCs w:val="22"/>
          <w:lang w:val="es-MX"/>
        </w:rPr>
        <w:t xml:space="preserve"> y se le complicó</w:t>
      </w:r>
      <w:r w:rsidR="005531D9">
        <w:rPr>
          <w:rFonts w:ascii="Verdana" w:hAnsi="Verdana"/>
          <w:sz w:val="22"/>
          <w:szCs w:val="22"/>
          <w:lang w:val="es-MX"/>
        </w:rPr>
        <w:t xml:space="preserve"> y eso incidió en la presentación de la solicitud del cambio de unidad.  En fecha 24 de junio de 2015 se le realizó el traslado de cargos para un </w:t>
      </w:r>
      <w:r w:rsidR="00B5374E">
        <w:rPr>
          <w:rFonts w:ascii="Verdana" w:hAnsi="Verdana"/>
          <w:sz w:val="22"/>
          <w:szCs w:val="22"/>
          <w:lang w:val="es-MX"/>
        </w:rPr>
        <w:t>procedimiento</w:t>
      </w:r>
      <w:r w:rsidR="005531D9">
        <w:rPr>
          <w:rFonts w:ascii="Verdana" w:hAnsi="Verdana"/>
          <w:sz w:val="22"/>
          <w:szCs w:val="22"/>
          <w:lang w:val="es-MX"/>
        </w:rPr>
        <w:t xml:space="preserve"> administrativo en</w:t>
      </w:r>
      <w:r w:rsidR="00B5374E">
        <w:rPr>
          <w:rFonts w:ascii="Verdana" w:hAnsi="Verdana"/>
          <w:sz w:val="22"/>
          <w:szCs w:val="22"/>
          <w:lang w:val="es-MX"/>
        </w:rPr>
        <w:t xml:space="preserve"> el que se indica la posible cancelación de la conexión señalando audiencia al 23 de octubre, lo que lo </w:t>
      </w:r>
      <w:r w:rsidR="00D3334F">
        <w:rPr>
          <w:rFonts w:ascii="Verdana" w:hAnsi="Verdana"/>
          <w:sz w:val="22"/>
          <w:szCs w:val="22"/>
          <w:lang w:val="es-MX"/>
        </w:rPr>
        <w:t>sumió</w:t>
      </w:r>
      <w:r w:rsidR="00B5374E">
        <w:rPr>
          <w:rFonts w:ascii="Verdana" w:hAnsi="Verdana"/>
          <w:sz w:val="22"/>
          <w:szCs w:val="22"/>
          <w:lang w:val="es-MX"/>
        </w:rPr>
        <w:t xml:space="preserve"> en estado de incertidumbre e </w:t>
      </w:r>
      <w:r w:rsidR="00D3334F">
        <w:rPr>
          <w:rFonts w:ascii="Verdana" w:hAnsi="Verdana"/>
          <w:sz w:val="22"/>
          <w:szCs w:val="22"/>
          <w:lang w:val="es-MX"/>
        </w:rPr>
        <w:t>indefensión</w:t>
      </w:r>
      <w:r w:rsidR="00B5374E">
        <w:rPr>
          <w:rFonts w:ascii="Verdana" w:hAnsi="Verdana"/>
          <w:sz w:val="22"/>
          <w:szCs w:val="22"/>
          <w:lang w:val="es-MX"/>
        </w:rPr>
        <w:t xml:space="preserve"> motivo por el cual tampoco sabía si debía </w:t>
      </w:r>
      <w:r w:rsidR="00B5374E">
        <w:rPr>
          <w:rFonts w:ascii="Verdana" w:hAnsi="Verdana"/>
          <w:sz w:val="22"/>
          <w:szCs w:val="22"/>
          <w:lang w:val="es-MX"/>
        </w:rPr>
        <w:lastRenderedPageBreak/>
        <w:t>continuar con el trámite de cambio de unidad</w:t>
      </w:r>
      <w:r w:rsidR="00D3334F">
        <w:rPr>
          <w:rFonts w:ascii="Verdana" w:hAnsi="Verdana"/>
          <w:sz w:val="22"/>
          <w:szCs w:val="22"/>
          <w:lang w:val="es-MX"/>
        </w:rPr>
        <w:t xml:space="preserve"> y demuestra que desde julio adquirió la nueva unidad.</w:t>
      </w:r>
    </w:p>
    <w:p w:rsidR="008C0A8B" w:rsidRPr="00884746" w:rsidRDefault="008C0A8B" w:rsidP="008C0A8B">
      <w:pPr>
        <w:jc w:val="both"/>
        <w:rPr>
          <w:rFonts w:ascii="Verdana" w:hAnsi="Verdana"/>
          <w:sz w:val="22"/>
          <w:szCs w:val="22"/>
          <w:lang w:val="es-MX"/>
        </w:rPr>
      </w:pPr>
      <w:r w:rsidRPr="00884746">
        <w:rPr>
          <w:rFonts w:ascii="Verdana" w:hAnsi="Verdana"/>
          <w:sz w:val="22"/>
          <w:szCs w:val="22"/>
          <w:lang w:val="es-MX"/>
        </w:rPr>
        <w:t xml:space="preserve">b)- </w:t>
      </w:r>
      <w:r w:rsidR="00D3334F">
        <w:rPr>
          <w:rFonts w:ascii="Verdana" w:hAnsi="Verdana"/>
          <w:sz w:val="22"/>
          <w:szCs w:val="22"/>
          <w:lang w:val="es-MX"/>
        </w:rPr>
        <w:t>En una escueta acta de menos de media página el órgano director averigua la verdad real de los hechos sin hacer un análisis debidamente circunstanciado en modo tiempo y lugar de la prueba</w:t>
      </w:r>
      <w:r w:rsidR="00385D9C">
        <w:rPr>
          <w:rFonts w:ascii="Verdana" w:hAnsi="Verdana"/>
          <w:sz w:val="22"/>
          <w:szCs w:val="22"/>
          <w:lang w:val="es-MX"/>
        </w:rPr>
        <w:t xml:space="preserve"> y con tres preguntas que le hicieron toman la decisión</w:t>
      </w:r>
      <w:r w:rsidRPr="00884746">
        <w:rPr>
          <w:rFonts w:ascii="Verdana" w:hAnsi="Verdana"/>
          <w:sz w:val="22"/>
          <w:szCs w:val="22"/>
          <w:lang w:val="es-MX"/>
        </w:rPr>
        <w:t>.</w:t>
      </w:r>
    </w:p>
    <w:p w:rsidR="008C0A8B" w:rsidRPr="00884746" w:rsidRDefault="008C0A8B" w:rsidP="008C0A8B">
      <w:pPr>
        <w:jc w:val="both"/>
        <w:rPr>
          <w:rFonts w:ascii="Verdana" w:hAnsi="Verdana"/>
          <w:sz w:val="22"/>
          <w:szCs w:val="22"/>
          <w:lang w:val="es-MX"/>
        </w:rPr>
      </w:pPr>
      <w:r w:rsidRPr="00884746">
        <w:rPr>
          <w:rFonts w:ascii="Verdana" w:hAnsi="Verdana"/>
          <w:sz w:val="22"/>
          <w:szCs w:val="22"/>
          <w:lang w:val="es-MX"/>
        </w:rPr>
        <w:t xml:space="preserve">c)- </w:t>
      </w:r>
      <w:r w:rsidR="00C06B86">
        <w:rPr>
          <w:rFonts w:ascii="Verdana" w:hAnsi="Verdana"/>
          <w:sz w:val="22"/>
          <w:szCs w:val="22"/>
          <w:lang w:val="es-MX"/>
        </w:rPr>
        <w:t>Decidió continuar con el trámit</w:t>
      </w:r>
      <w:r w:rsidR="000162E7">
        <w:rPr>
          <w:rFonts w:ascii="Verdana" w:hAnsi="Verdana"/>
          <w:sz w:val="22"/>
          <w:szCs w:val="22"/>
          <w:lang w:val="es-MX"/>
        </w:rPr>
        <w:t>e de cambio de unidad y presentó</w:t>
      </w:r>
      <w:r w:rsidR="00C06B86">
        <w:rPr>
          <w:rFonts w:ascii="Verdana" w:hAnsi="Verdana"/>
          <w:sz w:val="22"/>
          <w:szCs w:val="22"/>
          <w:lang w:val="es-MX"/>
        </w:rPr>
        <w:t xml:space="preserve"> el mismo el que se le aprobó el 10 de noviembre y 3 días después recibió una notificación del acuerdo recurrido</w:t>
      </w:r>
      <w:r w:rsidR="00286599">
        <w:rPr>
          <w:rFonts w:ascii="Verdana" w:hAnsi="Verdana"/>
          <w:sz w:val="22"/>
          <w:szCs w:val="22"/>
          <w:lang w:val="es-MX"/>
        </w:rPr>
        <w:t>, sea dos dependencias dictando actos contrarios</w:t>
      </w:r>
      <w:r w:rsidRPr="00884746">
        <w:rPr>
          <w:rFonts w:ascii="Verdana" w:hAnsi="Verdana"/>
          <w:sz w:val="22"/>
          <w:szCs w:val="22"/>
          <w:lang w:val="es-MX"/>
        </w:rPr>
        <w:t xml:space="preserve">. </w:t>
      </w:r>
    </w:p>
    <w:p w:rsidR="008C0A8B" w:rsidRPr="00884746" w:rsidRDefault="008C0A8B" w:rsidP="008C0A8B">
      <w:pPr>
        <w:jc w:val="both"/>
        <w:rPr>
          <w:rFonts w:ascii="Verdana" w:hAnsi="Verdana"/>
          <w:sz w:val="22"/>
          <w:szCs w:val="22"/>
          <w:lang w:val="es-MX"/>
        </w:rPr>
      </w:pPr>
      <w:r w:rsidRPr="00884746">
        <w:rPr>
          <w:rFonts w:ascii="Verdana" w:hAnsi="Verdana"/>
          <w:sz w:val="22"/>
          <w:szCs w:val="22"/>
          <w:lang w:val="es-MX"/>
        </w:rPr>
        <w:t xml:space="preserve">d)- </w:t>
      </w:r>
      <w:r w:rsidR="00286599">
        <w:rPr>
          <w:rFonts w:ascii="Verdana" w:hAnsi="Verdana"/>
          <w:sz w:val="22"/>
          <w:szCs w:val="22"/>
          <w:lang w:val="es-MX"/>
        </w:rPr>
        <w:t>El acuerdo impugnado es violatorio del debido proceso y el princi</w:t>
      </w:r>
      <w:r w:rsidR="00015CBB">
        <w:rPr>
          <w:rFonts w:ascii="Verdana" w:hAnsi="Verdana"/>
          <w:sz w:val="22"/>
          <w:szCs w:val="22"/>
          <w:lang w:val="es-MX"/>
        </w:rPr>
        <w:t>pi</w:t>
      </w:r>
      <w:r w:rsidR="0040749E">
        <w:rPr>
          <w:rFonts w:ascii="Verdana" w:hAnsi="Verdana"/>
          <w:sz w:val="22"/>
          <w:szCs w:val="22"/>
          <w:lang w:val="es-MX"/>
        </w:rPr>
        <w:t xml:space="preserve">o de Legalidad ya que </w:t>
      </w:r>
      <w:r w:rsidR="00A13D85">
        <w:rPr>
          <w:rFonts w:ascii="Verdana" w:hAnsi="Verdana"/>
          <w:sz w:val="22"/>
          <w:szCs w:val="22"/>
          <w:lang w:val="es-MX"/>
        </w:rPr>
        <w:t>aun</w:t>
      </w:r>
      <w:r w:rsidR="0040749E">
        <w:rPr>
          <w:rFonts w:ascii="Verdana" w:hAnsi="Verdana"/>
          <w:sz w:val="22"/>
          <w:szCs w:val="22"/>
          <w:lang w:val="es-MX"/>
        </w:rPr>
        <w:t xml:space="preserve"> cuando el recurrente actuó inducido a error por la misma Administración le imponen la sanción más gravosa en clara inobservancia del </w:t>
      </w:r>
      <w:r w:rsidR="00B654E0">
        <w:rPr>
          <w:rFonts w:ascii="Verdana" w:hAnsi="Verdana"/>
          <w:sz w:val="22"/>
          <w:szCs w:val="22"/>
          <w:lang w:val="es-MX"/>
        </w:rPr>
        <w:t>principio</w:t>
      </w:r>
      <w:r w:rsidR="0040749E">
        <w:rPr>
          <w:rFonts w:ascii="Verdana" w:hAnsi="Verdana"/>
          <w:sz w:val="22"/>
          <w:szCs w:val="22"/>
          <w:lang w:val="es-MX"/>
        </w:rPr>
        <w:t xml:space="preserve"> de gradualidad de la </w:t>
      </w:r>
      <w:r w:rsidR="00A13D85">
        <w:rPr>
          <w:rFonts w:ascii="Verdana" w:hAnsi="Verdana"/>
          <w:sz w:val="22"/>
          <w:szCs w:val="22"/>
          <w:lang w:val="es-MX"/>
        </w:rPr>
        <w:t>sanción.</w:t>
      </w:r>
    </w:p>
    <w:p w:rsidR="008C0A8B" w:rsidRPr="00884746" w:rsidRDefault="008C0A8B" w:rsidP="00B654E0">
      <w:pPr>
        <w:jc w:val="both"/>
        <w:rPr>
          <w:rFonts w:ascii="Verdana" w:hAnsi="Verdana"/>
          <w:sz w:val="22"/>
          <w:szCs w:val="22"/>
        </w:rPr>
      </w:pPr>
      <w:r w:rsidRPr="00884746">
        <w:rPr>
          <w:rFonts w:ascii="Verdana" w:hAnsi="Verdana"/>
          <w:sz w:val="22"/>
          <w:szCs w:val="22"/>
          <w:lang w:val="es-MX"/>
        </w:rPr>
        <w:t xml:space="preserve">e)-  </w:t>
      </w:r>
      <w:r w:rsidR="00B654E0">
        <w:rPr>
          <w:rFonts w:ascii="Verdana" w:hAnsi="Verdana"/>
          <w:sz w:val="22"/>
          <w:szCs w:val="22"/>
          <w:lang w:val="es-MX"/>
        </w:rPr>
        <w:t>Solicita se declare con lugar y se anule el acuerdo impugnado, y se suspendan los efectos del acto administrativo</w:t>
      </w:r>
      <w:r>
        <w:rPr>
          <w:rFonts w:ascii="Verdana" w:hAnsi="Verdana"/>
          <w:sz w:val="22"/>
          <w:szCs w:val="22"/>
          <w:lang w:val="es-MX"/>
        </w:rPr>
        <w:t xml:space="preserve"> </w:t>
      </w:r>
      <w:r w:rsidRPr="00884746">
        <w:rPr>
          <w:rFonts w:ascii="Verdana" w:hAnsi="Verdana"/>
          <w:sz w:val="22"/>
          <w:szCs w:val="22"/>
        </w:rPr>
        <w:t>(</w:t>
      </w:r>
      <w:r>
        <w:rPr>
          <w:rFonts w:ascii="Verdana" w:hAnsi="Verdana"/>
          <w:sz w:val="22"/>
          <w:szCs w:val="22"/>
        </w:rPr>
        <w:t>L</w:t>
      </w:r>
      <w:r w:rsidRPr="00884746">
        <w:rPr>
          <w:rFonts w:ascii="Verdana" w:hAnsi="Verdana"/>
          <w:sz w:val="22"/>
          <w:szCs w:val="22"/>
        </w:rPr>
        <w:t xml:space="preserve">éase folios </w:t>
      </w:r>
      <w:r w:rsidR="003B04A7">
        <w:rPr>
          <w:rFonts w:ascii="Verdana" w:hAnsi="Verdana"/>
          <w:sz w:val="22"/>
          <w:szCs w:val="22"/>
        </w:rPr>
        <w:t xml:space="preserve">34 </w:t>
      </w:r>
      <w:r w:rsidR="00A13D85">
        <w:rPr>
          <w:rFonts w:ascii="Verdana" w:hAnsi="Verdana"/>
          <w:sz w:val="22"/>
          <w:szCs w:val="22"/>
        </w:rPr>
        <w:t xml:space="preserve">vuelto </w:t>
      </w:r>
      <w:r w:rsidR="00A13D85" w:rsidRPr="00884746">
        <w:rPr>
          <w:rFonts w:ascii="Verdana" w:hAnsi="Verdana"/>
          <w:sz w:val="22"/>
          <w:szCs w:val="22"/>
        </w:rPr>
        <w:t>al</w:t>
      </w:r>
      <w:r w:rsidRPr="00884746">
        <w:rPr>
          <w:rFonts w:ascii="Verdana" w:hAnsi="Verdana"/>
          <w:sz w:val="22"/>
          <w:szCs w:val="22"/>
        </w:rPr>
        <w:t xml:space="preserve"> </w:t>
      </w:r>
      <w:r w:rsidR="00B654E0">
        <w:rPr>
          <w:rFonts w:ascii="Verdana" w:hAnsi="Verdana"/>
          <w:sz w:val="22"/>
          <w:szCs w:val="22"/>
        </w:rPr>
        <w:t>36</w:t>
      </w:r>
      <w:r w:rsidRPr="00884746">
        <w:rPr>
          <w:rFonts w:ascii="Verdana" w:hAnsi="Verdana"/>
          <w:sz w:val="22"/>
          <w:szCs w:val="22"/>
        </w:rPr>
        <w:t xml:space="preserve"> del expediente administrativo)</w:t>
      </w:r>
      <w:r>
        <w:rPr>
          <w:rFonts w:ascii="Verdana" w:hAnsi="Verdana"/>
          <w:sz w:val="22"/>
          <w:szCs w:val="22"/>
        </w:rPr>
        <w:t>.</w:t>
      </w:r>
    </w:p>
    <w:p w:rsidR="008C0A8B" w:rsidRPr="00A33A99" w:rsidRDefault="008C0A8B" w:rsidP="008C0A8B">
      <w:pPr>
        <w:jc w:val="both"/>
        <w:rPr>
          <w:rFonts w:ascii="Verdana" w:hAnsi="Verdana"/>
          <w:sz w:val="22"/>
          <w:szCs w:val="22"/>
        </w:rPr>
      </w:pPr>
    </w:p>
    <w:p w:rsidR="008C0A8B" w:rsidRPr="00884746" w:rsidRDefault="008C0A8B" w:rsidP="008C0A8B">
      <w:pPr>
        <w:jc w:val="both"/>
        <w:rPr>
          <w:rFonts w:ascii="Verdana" w:hAnsi="Verdana"/>
          <w:sz w:val="22"/>
          <w:szCs w:val="22"/>
          <w:lang w:val="es-MX"/>
        </w:rPr>
      </w:pPr>
    </w:p>
    <w:p w:rsidR="008C0A8B" w:rsidRPr="00884746" w:rsidRDefault="008C0A8B" w:rsidP="008C0A8B">
      <w:pPr>
        <w:jc w:val="both"/>
        <w:rPr>
          <w:rFonts w:ascii="Verdana" w:hAnsi="Verdana"/>
          <w:sz w:val="22"/>
          <w:szCs w:val="22"/>
          <w:lang w:val="es-MX"/>
        </w:rPr>
      </w:pPr>
      <w:r w:rsidRPr="00884746">
        <w:rPr>
          <w:rFonts w:ascii="Verdana" w:hAnsi="Verdana"/>
          <w:b/>
          <w:sz w:val="22"/>
          <w:szCs w:val="22"/>
          <w:lang w:val="es-MX"/>
        </w:rPr>
        <w:t xml:space="preserve">TERCERO: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00A13D85" w:rsidRPr="00884746">
        <w:rPr>
          <w:rFonts w:ascii="Verdana" w:hAnsi="Verdana"/>
          <w:sz w:val="22"/>
          <w:szCs w:val="22"/>
          <w:lang w:val="es-MX"/>
        </w:rPr>
        <w:t>mediante</w:t>
      </w:r>
      <w:r w:rsidRPr="00884746">
        <w:rPr>
          <w:rFonts w:ascii="Verdana" w:hAnsi="Verdana"/>
          <w:sz w:val="22"/>
          <w:szCs w:val="22"/>
          <w:lang w:val="es-MX"/>
        </w:rPr>
        <w:t xml:space="preserve"> </w:t>
      </w:r>
      <w:r w:rsidRPr="003B04A7">
        <w:rPr>
          <w:rFonts w:ascii="Verdana" w:hAnsi="Verdana"/>
          <w:b/>
          <w:sz w:val="22"/>
          <w:szCs w:val="22"/>
          <w:lang w:val="es-MX"/>
        </w:rPr>
        <w:t xml:space="preserve">Artículo </w:t>
      </w:r>
      <w:r w:rsidR="003B04A7">
        <w:rPr>
          <w:rFonts w:ascii="Verdana" w:hAnsi="Verdana"/>
          <w:b/>
          <w:sz w:val="22"/>
          <w:szCs w:val="22"/>
          <w:lang w:val="es-MX"/>
        </w:rPr>
        <w:t xml:space="preserve">7.12.5 de la Sesión Ordinaria 07-2016 de 17 de febrero de 2016, </w:t>
      </w:r>
      <w:r w:rsidR="003B04A7">
        <w:rPr>
          <w:rFonts w:ascii="Verdana" w:hAnsi="Verdana"/>
          <w:sz w:val="22"/>
          <w:szCs w:val="22"/>
          <w:lang w:val="es-MX"/>
        </w:rPr>
        <w:t xml:space="preserve">conoce y acoge el informe de la Dirección de Asuntos </w:t>
      </w:r>
      <w:r w:rsidR="00A13D85">
        <w:rPr>
          <w:rFonts w:ascii="Verdana" w:hAnsi="Verdana"/>
          <w:sz w:val="22"/>
          <w:szCs w:val="22"/>
          <w:lang w:val="es-MX"/>
        </w:rPr>
        <w:t>Jurídicos DAJ</w:t>
      </w:r>
      <w:r w:rsidR="00711DC0" w:rsidRPr="00711DC0">
        <w:rPr>
          <w:rFonts w:ascii="Verdana" w:hAnsi="Verdana"/>
          <w:b/>
          <w:sz w:val="22"/>
          <w:szCs w:val="22"/>
          <w:lang w:val="es-MX"/>
        </w:rPr>
        <w:t>-2016000402 de 8 de febrero de 2016</w:t>
      </w:r>
      <w:r w:rsidR="00711DC0">
        <w:rPr>
          <w:rFonts w:ascii="Verdana" w:hAnsi="Verdana"/>
          <w:b/>
          <w:sz w:val="22"/>
          <w:szCs w:val="22"/>
          <w:lang w:val="es-MX"/>
        </w:rPr>
        <w:t xml:space="preserve"> </w:t>
      </w:r>
      <w:r w:rsidR="00711DC0">
        <w:rPr>
          <w:rFonts w:ascii="Verdana" w:hAnsi="Verdana"/>
          <w:sz w:val="22"/>
          <w:szCs w:val="22"/>
          <w:lang w:val="es-MX"/>
        </w:rPr>
        <w:t xml:space="preserve">y </w:t>
      </w:r>
      <w:r w:rsidR="005229B8">
        <w:rPr>
          <w:rFonts w:ascii="Verdana" w:hAnsi="Verdana"/>
          <w:sz w:val="22"/>
          <w:szCs w:val="22"/>
          <w:lang w:val="es-MX"/>
        </w:rPr>
        <w:t xml:space="preserve">rechaza por improcedente el Recurso de </w:t>
      </w:r>
      <w:r w:rsidR="00A13D85">
        <w:rPr>
          <w:rFonts w:ascii="Verdana" w:hAnsi="Verdana"/>
          <w:sz w:val="22"/>
          <w:szCs w:val="22"/>
          <w:lang w:val="es-MX"/>
        </w:rPr>
        <w:t>Revocatoria,</w:t>
      </w:r>
      <w:r w:rsidR="005229B8">
        <w:rPr>
          <w:rFonts w:ascii="Verdana" w:hAnsi="Verdana"/>
          <w:sz w:val="22"/>
          <w:szCs w:val="22"/>
          <w:lang w:val="es-MX"/>
        </w:rPr>
        <w:t xml:space="preserve"> así como la Nulidad concomitante, por tenerse que se demostró el no pago de la Póliza del INS </w:t>
      </w:r>
      <w:r w:rsidR="00F23A62">
        <w:rPr>
          <w:rFonts w:ascii="Verdana" w:hAnsi="Verdana"/>
          <w:sz w:val="22"/>
          <w:szCs w:val="22"/>
          <w:lang w:val="es-MX"/>
        </w:rPr>
        <w:t>d</w:t>
      </w:r>
      <w:r w:rsidR="00F062A1">
        <w:rPr>
          <w:rFonts w:ascii="Verdana" w:hAnsi="Verdana"/>
          <w:sz w:val="22"/>
          <w:szCs w:val="22"/>
          <w:lang w:val="es-MX"/>
        </w:rPr>
        <w:t xml:space="preserve">el vehículo que amparaba la concesión </w:t>
      </w:r>
      <w:r w:rsidR="00B4497B">
        <w:rPr>
          <w:rFonts w:ascii="Verdana" w:hAnsi="Verdana"/>
          <w:sz w:val="22"/>
          <w:szCs w:val="22"/>
          <w:lang w:val="es-MX"/>
        </w:rPr>
        <w:t>XXX</w:t>
      </w:r>
      <w:r w:rsidR="00F062A1">
        <w:rPr>
          <w:rFonts w:ascii="Verdana" w:hAnsi="Verdana"/>
          <w:sz w:val="22"/>
          <w:szCs w:val="22"/>
          <w:lang w:val="es-MX"/>
        </w:rPr>
        <w:t xml:space="preserve"> a partir del mes de mayo de 2015.  Así mismo se consideró que el acto administrativo no presentaba vicios </w:t>
      </w:r>
      <w:r w:rsidR="00F2421A">
        <w:rPr>
          <w:rFonts w:ascii="Verdana" w:hAnsi="Verdana"/>
          <w:sz w:val="22"/>
          <w:szCs w:val="22"/>
          <w:lang w:val="es-MX"/>
        </w:rPr>
        <w:t>en sus elementos constitutivos que pudieran dar como resultado la anulación del acto</w:t>
      </w:r>
      <w:r>
        <w:rPr>
          <w:rFonts w:ascii="Verdana" w:hAnsi="Verdana"/>
          <w:sz w:val="22"/>
          <w:szCs w:val="22"/>
          <w:lang w:val="es-MX"/>
        </w:rPr>
        <w:t>.</w:t>
      </w:r>
      <w:r w:rsidRPr="00884746">
        <w:rPr>
          <w:rFonts w:ascii="Verdana" w:hAnsi="Verdana"/>
          <w:sz w:val="22"/>
          <w:szCs w:val="22"/>
          <w:lang w:val="es-MX"/>
        </w:rPr>
        <w:t xml:space="preserve"> (</w:t>
      </w:r>
      <w:r>
        <w:rPr>
          <w:rFonts w:ascii="Verdana" w:hAnsi="Verdana"/>
          <w:sz w:val="22"/>
          <w:szCs w:val="22"/>
          <w:lang w:val="es-MX"/>
        </w:rPr>
        <w:t>L</w:t>
      </w:r>
      <w:r w:rsidRPr="00884746">
        <w:rPr>
          <w:rFonts w:ascii="Verdana" w:hAnsi="Verdana"/>
          <w:sz w:val="22"/>
          <w:szCs w:val="22"/>
          <w:lang w:val="es-MX"/>
        </w:rPr>
        <w:t xml:space="preserve">éase folios </w:t>
      </w:r>
      <w:r w:rsidR="00A13D85" w:rsidRPr="00884746">
        <w:rPr>
          <w:rFonts w:ascii="Verdana" w:hAnsi="Verdana"/>
          <w:sz w:val="22"/>
          <w:szCs w:val="22"/>
          <w:lang w:val="es-MX"/>
        </w:rPr>
        <w:t>del 1</w:t>
      </w:r>
      <w:r w:rsidRPr="00884746">
        <w:rPr>
          <w:rFonts w:ascii="Verdana" w:hAnsi="Verdana"/>
          <w:sz w:val="22"/>
          <w:szCs w:val="22"/>
          <w:lang w:val="es-MX"/>
        </w:rPr>
        <w:t xml:space="preserve"> al </w:t>
      </w:r>
      <w:r w:rsidR="00F2421A">
        <w:rPr>
          <w:rFonts w:ascii="Verdana" w:hAnsi="Verdana"/>
          <w:sz w:val="22"/>
          <w:szCs w:val="22"/>
          <w:lang w:val="es-MX"/>
        </w:rPr>
        <w:t>5</w:t>
      </w:r>
      <w:r w:rsidRPr="00884746">
        <w:rPr>
          <w:rFonts w:ascii="Verdana" w:hAnsi="Verdana"/>
          <w:sz w:val="22"/>
          <w:szCs w:val="22"/>
          <w:lang w:val="es-MX"/>
        </w:rPr>
        <w:t xml:space="preserve"> del expediente administrativo)</w:t>
      </w:r>
      <w:r>
        <w:rPr>
          <w:rFonts w:ascii="Verdana" w:hAnsi="Verdana"/>
          <w:sz w:val="22"/>
          <w:szCs w:val="22"/>
          <w:lang w:val="es-MX"/>
        </w:rPr>
        <w:t>.</w:t>
      </w:r>
    </w:p>
    <w:p w:rsidR="0044538F" w:rsidRDefault="0044538F" w:rsidP="008C0A8B">
      <w:pPr>
        <w:jc w:val="both"/>
        <w:rPr>
          <w:rFonts w:ascii="Verdana" w:hAnsi="Verdana"/>
          <w:b/>
          <w:sz w:val="22"/>
          <w:szCs w:val="22"/>
          <w:lang w:val="es-MX"/>
        </w:rPr>
      </w:pPr>
    </w:p>
    <w:p w:rsidR="008C0A8B" w:rsidRPr="00884746" w:rsidRDefault="00F23A62" w:rsidP="008C0A8B">
      <w:pPr>
        <w:jc w:val="both"/>
        <w:rPr>
          <w:rFonts w:ascii="Verdana" w:hAnsi="Verdana"/>
          <w:sz w:val="22"/>
          <w:szCs w:val="22"/>
        </w:rPr>
      </w:pPr>
      <w:r>
        <w:rPr>
          <w:rFonts w:ascii="Verdana" w:hAnsi="Verdana"/>
          <w:b/>
          <w:sz w:val="22"/>
          <w:szCs w:val="22"/>
          <w:lang w:val="es-MX"/>
        </w:rPr>
        <w:t>CUARTO</w:t>
      </w:r>
      <w:r w:rsidR="003F1429">
        <w:rPr>
          <w:rFonts w:ascii="Verdana" w:hAnsi="Verdana"/>
          <w:b/>
          <w:sz w:val="22"/>
          <w:szCs w:val="22"/>
          <w:lang w:val="es-MX"/>
        </w:rPr>
        <w:t xml:space="preserve">: </w:t>
      </w:r>
      <w:r w:rsidR="008C0A8B" w:rsidRPr="00884746">
        <w:rPr>
          <w:rFonts w:ascii="Verdana" w:hAnsi="Verdana"/>
          <w:sz w:val="22"/>
          <w:szCs w:val="22"/>
        </w:rPr>
        <w:t>En los procedimientos seguidos se han observado las prescripciones legales.</w:t>
      </w:r>
    </w:p>
    <w:p w:rsidR="008C0A8B" w:rsidRPr="00884746" w:rsidRDefault="008C0A8B" w:rsidP="008C0A8B">
      <w:pPr>
        <w:jc w:val="both"/>
        <w:rPr>
          <w:rFonts w:ascii="Verdana" w:hAnsi="Verdana"/>
          <w:sz w:val="22"/>
          <w:szCs w:val="22"/>
        </w:rPr>
      </w:pPr>
    </w:p>
    <w:p w:rsidR="008C0A8B" w:rsidRPr="00884746" w:rsidRDefault="008C0A8B" w:rsidP="008C0A8B">
      <w:pPr>
        <w:jc w:val="both"/>
        <w:rPr>
          <w:rFonts w:ascii="Verdana" w:hAnsi="Verdana"/>
          <w:sz w:val="22"/>
          <w:szCs w:val="22"/>
        </w:rPr>
      </w:pPr>
      <w:r w:rsidRPr="006A6BBB">
        <w:rPr>
          <w:rFonts w:ascii="Verdana" w:hAnsi="Verdana"/>
          <w:b/>
          <w:sz w:val="22"/>
          <w:szCs w:val="22"/>
        </w:rPr>
        <w:t xml:space="preserve">Redacta </w:t>
      </w:r>
      <w:r w:rsidR="006A6BBB" w:rsidRPr="006A6BBB">
        <w:rPr>
          <w:rFonts w:ascii="Verdana" w:hAnsi="Verdana"/>
          <w:b/>
          <w:sz w:val="22"/>
          <w:szCs w:val="22"/>
        </w:rPr>
        <w:t>la Jueza</w:t>
      </w:r>
      <w:r w:rsidRPr="006A6BBB">
        <w:rPr>
          <w:rFonts w:ascii="Verdana" w:hAnsi="Verdana"/>
          <w:b/>
          <w:sz w:val="22"/>
          <w:szCs w:val="22"/>
        </w:rPr>
        <w:t xml:space="preserve"> Pérez Peláez</w:t>
      </w:r>
      <w:r>
        <w:rPr>
          <w:rFonts w:ascii="Verdana" w:hAnsi="Verdana"/>
          <w:sz w:val="22"/>
          <w:szCs w:val="22"/>
        </w:rPr>
        <w:t>.</w:t>
      </w:r>
      <w:r w:rsidRPr="00884746">
        <w:rPr>
          <w:rFonts w:ascii="Verdana" w:hAnsi="Verdana"/>
          <w:sz w:val="22"/>
          <w:szCs w:val="22"/>
        </w:rPr>
        <w:t xml:space="preserve"> </w:t>
      </w:r>
    </w:p>
    <w:p w:rsidR="008C0A8B" w:rsidRPr="00884746" w:rsidRDefault="008C0A8B" w:rsidP="008C0A8B">
      <w:pPr>
        <w:jc w:val="center"/>
        <w:rPr>
          <w:rFonts w:ascii="Verdana" w:hAnsi="Verdana"/>
          <w:b/>
          <w:sz w:val="22"/>
          <w:szCs w:val="22"/>
        </w:rPr>
      </w:pPr>
    </w:p>
    <w:p w:rsidR="008C0A8B" w:rsidRDefault="008C0A8B" w:rsidP="00F23A62">
      <w:pPr>
        <w:spacing w:line="480" w:lineRule="auto"/>
        <w:jc w:val="center"/>
        <w:rPr>
          <w:rFonts w:ascii="Verdana" w:hAnsi="Verdana"/>
          <w:b/>
          <w:sz w:val="22"/>
          <w:szCs w:val="22"/>
        </w:rPr>
      </w:pPr>
      <w:r w:rsidRPr="00884746">
        <w:rPr>
          <w:rFonts w:ascii="Verdana" w:hAnsi="Verdana"/>
          <w:b/>
          <w:sz w:val="22"/>
          <w:szCs w:val="22"/>
        </w:rPr>
        <w:t xml:space="preserve">CONSIDERANDO </w:t>
      </w:r>
    </w:p>
    <w:p w:rsidR="008C0A8B" w:rsidRPr="00884746" w:rsidRDefault="008C0A8B" w:rsidP="008C0A8B">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8C0A8B" w:rsidRPr="00884746" w:rsidRDefault="008C0A8B" w:rsidP="008C0A8B">
      <w:pPr>
        <w:jc w:val="both"/>
        <w:rPr>
          <w:rFonts w:ascii="Verdana" w:hAnsi="Verdana"/>
          <w:b/>
          <w:sz w:val="22"/>
          <w:szCs w:val="22"/>
        </w:rPr>
      </w:pPr>
    </w:p>
    <w:p w:rsidR="008C0A8B" w:rsidRPr="00884746" w:rsidRDefault="008C0A8B" w:rsidP="008C0A8B">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B4497B">
        <w:rPr>
          <w:rFonts w:ascii="Verdana" w:hAnsi="Verdana"/>
          <w:b/>
          <w:smallCaps/>
          <w:sz w:val="22"/>
          <w:szCs w:val="22"/>
        </w:rPr>
        <w:t>J.S.J.</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r w:rsidR="00B4497B">
        <w:rPr>
          <w:rFonts w:ascii="Verdana" w:hAnsi="Verdana"/>
          <w:b/>
          <w:sz w:val="22"/>
          <w:szCs w:val="22"/>
        </w:rPr>
        <w:t>XXXX</w:t>
      </w:r>
      <w:r w:rsidR="006A6BBB" w:rsidRPr="00F77071">
        <w:rPr>
          <w:rFonts w:ascii="Verdana" w:hAnsi="Verdana"/>
          <w:smallCaps/>
          <w:sz w:val="22"/>
          <w:szCs w:val="22"/>
        </w:rPr>
        <w:t xml:space="preserve">, </w:t>
      </w:r>
      <w:r w:rsidR="006A6BBB" w:rsidRPr="00F77071">
        <w:rPr>
          <w:rFonts w:ascii="Verdana" w:hAnsi="Verdana"/>
          <w:sz w:val="22"/>
          <w:szCs w:val="22"/>
        </w:rPr>
        <w:t>mediante</w:t>
      </w:r>
      <w:r w:rsidRPr="00F77071">
        <w:rPr>
          <w:rFonts w:ascii="Verdana" w:hAnsi="Verdana"/>
          <w:sz w:val="22"/>
          <w:szCs w:val="22"/>
        </w:rPr>
        <w:t xml:space="preserve"> el acuerdo impugnado, por lo que cuenta con la legitimación </w:t>
      </w:r>
      <w:r w:rsidR="006A6BBB" w:rsidRPr="00F77071">
        <w:rPr>
          <w:rFonts w:ascii="Verdana" w:hAnsi="Verdana"/>
          <w:sz w:val="22"/>
          <w:szCs w:val="22"/>
        </w:rPr>
        <w:t>necesaria para</w:t>
      </w:r>
      <w:r w:rsidRPr="00F77071">
        <w:rPr>
          <w:rFonts w:ascii="Verdana" w:hAnsi="Verdana"/>
          <w:sz w:val="22"/>
          <w:szCs w:val="22"/>
        </w:rPr>
        <w:t xml:space="preserve">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w:t>
      </w:r>
      <w:r w:rsidR="006A6BBB" w:rsidRPr="00884746">
        <w:rPr>
          <w:rFonts w:ascii="Verdana" w:hAnsi="Verdana"/>
          <w:sz w:val="22"/>
          <w:szCs w:val="22"/>
        </w:rPr>
        <w:t>del plazo</w:t>
      </w:r>
      <w:r w:rsidRPr="00884746">
        <w:rPr>
          <w:rFonts w:ascii="Verdana" w:hAnsi="Verdana"/>
          <w:sz w:val="22"/>
          <w:szCs w:val="22"/>
        </w:rPr>
        <w:t xml:space="preserve">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sidR="00947936">
        <w:rPr>
          <w:rFonts w:ascii="Verdana" w:hAnsi="Verdana"/>
          <w:sz w:val="22"/>
          <w:szCs w:val="22"/>
        </w:rPr>
        <w:t>13</w:t>
      </w:r>
      <w:r w:rsidRPr="00884746">
        <w:rPr>
          <w:rFonts w:ascii="Verdana" w:hAnsi="Verdana"/>
          <w:sz w:val="22"/>
          <w:szCs w:val="22"/>
        </w:rPr>
        <w:t xml:space="preserve"> de </w:t>
      </w:r>
      <w:r w:rsidR="00947936">
        <w:rPr>
          <w:rFonts w:ascii="Verdana" w:hAnsi="Verdana"/>
          <w:sz w:val="22"/>
          <w:szCs w:val="22"/>
        </w:rPr>
        <w:t>noviembre de 2015</w:t>
      </w:r>
      <w:r>
        <w:rPr>
          <w:rFonts w:ascii="Verdana" w:hAnsi="Verdana"/>
          <w:sz w:val="22"/>
          <w:szCs w:val="22"/>
        </w:rPr>
        <w:t xml:space="preserve">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947936">
        <w:rPr>
          <w:rFonts w:ascii="Verdana" w:hAnsi="Verdana"/>
          <w:sz w:val="22"/>
          <w:szCs w:val="22"/>
        </w:rPr>
        <w:t>1</w:t>
      </w:r>
      <w:r w:rsidRPr="00884746">
        <w:rPr>
          <w:rFonts w:ascii="Verdana" w:hAnsi="Verdana"/>
          <w:sz w:val="22"/>
          <w:szCs w:val="22"/>
        </w:rPr>
        <w:t xml:space="preserve">8 del mismo mes y año. </w:t>
      </w:r>
    </w:p>
    <w:p w:rsidR="008C0A8B" w:rsidRPr="00884746" w:rsidRDefault="008C0A8B" w:rsidP="008C0A8B">
      <w:pPr>
        <w:jc w:val="both"/>
        <w:rPr>
          <w:rFonts w:ascii="Verdana" w:hAnsi="Verdana"/>
          <w:b/>
          <w:sz w:val="22"/>
          <w:szCs w:val="22"/>
        </w:rPr>
      </w:pPr>
    </w:p>
    <w:p w:rsidR="00EA3991" w:rsidRDefault="008C0A8B" w:rsidP="00DD2A48">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EA3991" w:rsidRDefault="00EA3991" w:rsidP="00DD2A48">
      <w:pPr>
        <w:jc w:val="both"/>
        <w:rPr>
          <w:rFonts w:ascii="Verdana" w:hAnsi="Verdana"/>
          <w:sz w:val="22"/>
          <w:szCs w:val="22"/>
        </w:rPr>
      </w:pPr>
    </w:p>
    <w:p w:rsidR="00EA3991" w:rsidRDefault="00EA3991" w:rsidP="00EA3991">
      <w:pPr>
        <w:jc w:val="both"/>
        <w:rPr>
          <w:rFonts w:ascii="Verdana" w:hAnsi="Verdana"/>
          <w:sz w:val="22"/>
          <w:szCs w:val="22"/>
          <w:lang w:val="es-MX"/>
        </w:rPr>
      </w:pPr>
      <w:r>
        <w:rPr>
          <w:rFonts w:ascii="Verdana" w:hAnsi="Verdana"/>
          <w:b/>
          <w:sz w:val="22"/>
          <w:szCs w:val="22"/>
          <w:lang w:val="es-MX"/>
        </w:rPr>
        <w:t>A</w:t>
      </w:r>
      <w:r w:rsidRPr="00884746">
        <w:rPr>
          <w:rFonts w:ascii="Verdana" w:hAnsi="Verdana"/>
          <w:b/>
          <w:sz w:val="22"/>
          <w:szCs w:val="22"/>
          <w:lang w:val="es-MX"/>
        </w:rPr>
        <w:t xml:space="preserve">). - </w:t>
      </w:r>
      <w:r>
        <w:rPr>
          <w:rFonts w:ascii="Verdana" w:hAnsi="Verdana"/>
          <w:sz w:val="22"/>
          <w:szCs w:val="22"/>
          <w:lang w:val="es-MX"/>
        </w:rPr>
        <w:t xml:space="preserve">El Recurrente es concesionario de la placa </w:t>
      </w:r>
      <w:r w:rsidR="00B4497B">
        <w:rPr>
          <w:rFonts w:ascii="Verdana" w:hAnsi="Verdana"/>
          <w:sz w:val="22"/>
          <w:szCs w:val="22"/>
          <w:lang w:val="es-MX"/>
        </w:rPr>
        <w:t>XXX</w:t>
      </w:r>
      <w:r>
        <w:rPr>
          <w:rFonts w:ascii="Verdana" w:hAnsi="Verdana"/>
          <w:sz w:val="22"/>
          <w:szCs w:val="22"/>
          <w:lang w:val="es-MX"/>
        </w:rPr>
        <w:t xml:space="preserve">, según cesión que hiciera el concesionario </w:t>
      </w:r>
      <w:r w:rsidR="00B4497B">
        <w:rPr>
          <w:rFonts w:ascii="Verdana" w:hAnsi="Verdana"/>
          <w:sz w:val="22"/>
          <w:szCs w:val="22"/>
          <w:lang w:val="es-MX"/>
        </w:rPr>
        <w:t>J.F.C.</w:t>
      </w:r>
      <w:r>
        <w:rPr>
          <w:rFonts w:ascii="Verdana" w:hAnsi="Verdana"/>
          <w:sz w:val="22"/>
          <w:szCs w:val="22"/>
          <w:lang w:val="es-MX"/>
        </w:rPr>
        <w:t xml:space="preserve"> y que fuera aprobada mediante acuerdo</w:t>
      </w:r>
      <w:r>
        <w:rPr>
          <w:rFonts w:ascii="Verdana" w:hAnsi="Verdana"/>
          <w:b/>
          <w:sz w:val="22"/>
          <w:szCs w:val="22"/>
          <w:lang w:val="es-MX"/>
        </w:rPr>
        <w:t xml:space="preserve"> 7.3.219 de la Sesión Extraordinaria 08-2014 del 30 de setiembre de 2014. </w:t>
      </w:r>
      <w:r>
        <w:rPr>
          <w:rFonts w:ascii="Verdana" w:hAnsi="Verdana"/>
          <w:sz w:val="22"/>
          <w:szCs w:val="22"/>
          <w:lang w:val="es-MX"/>
        </w:rPr>
        <w:t>(Léanse folios del 51 al 61 del expediente administrativo)</w:t>
      </w:r>
    </w:p>
    <w:p w:rsidR="00EA3991" w:rsidRDefault="00EA3991" w:rsidP="00DD2A48">
      <w:pPr>
        <w:jc w:val="both"/>
        <w:rPr>
          <w:rFonts w:ascii="Verdana" w:hAnsi="Verdana"/>
          <w:sz w:val="22"/>
          <w:szCs w:val="22"/>
        </w:rPr>
      </w:pPr>
    </w:p>
    <w:p w:rsidR="00DD2A48" w:rsidRPr="00884746" w:rsidRDefault="00EA3991" w:rsidP="00DD2A48">
      <w:pPr>
        <w:jc w:val="both"/>
        <w:rPr>
          <w:rFonts w:ascii="Verdana" w:hAnsi="Verdana"/>
          <w:sz w:val="22"/>
          <w:szCs w:val="22"/>
          <w:lang w:val="es-MX"/>
        </w:rPr>
      </w:pPr>
      <w:r>
        <w:rPr>
          <w:rFonts w:ascii="Verdana" w:hAnsi="Verdana"/>
          <w:b/>
          <w:sz w:val="22"/>
          <w:szCs w:val="22"/>
        </w:rPr>
        <w:t>B</w:t>
      </w:r>
      <w:r w:rsidRPr="00884746">
        <w:rPr>
          <w:rFonts w:ascii="Verdana" w:hAnsi="Verdana"/>
          <w:b/>
          <w:sz w:val="22"/>
          <w:szCs w:val="22"/>
        </w:rPr>
        <w:t>). -</w:t>
      </w:r>
      <w:r w:rsidR="008C0A8B" w:rsidRPr="00884746">
        <w:rPr>
          <w:rFonts w:ascii="Verdana" w:hAnsi="Verdana"/>
          <w:sz w:val="22"/>
          <w:szCs w:val="22"/>
        </w:rPr>
        <w:t xml:space="preserve"> </w:t>
      </w:r>
      <w:r w:rsidR="00DD2A48" w:rsidRPr="00884746">
        <w:rPr>
          <w:rFonts w:ascii="Verdana" w:hAnsi="Verdana"/>
          <w:sz w:val="22"/>
          <w:szCs w:val="22"/>
        </w:rPr>
        <w:t xml:space="preserve">La </w:t>
      </w:r>
      <w:r w:rsidR="00DD2A48" w:rsidRPr="00884746">
        <w:rPr>
          <w:rFonts w:ascii="Verdana" w:hAnsi="Verdana"/>
          <w:smallCaps/>
          <w:sz w:val="22"/>
          <w:szCs w:val="22"/>
        </w:rPr>
        <w:t>Junta Directiva del Consejo de Transporte Público</w:t>
      </w:r>
      <w:r w:rsidR="00DD2A48" w:rsidRPr="00884746">
        <w:rPr>
          <w:rFonts w:ascii="Verdana" w:hAnsi="Verdana"/>
          <w:sz w:val="22"/>
          <w:szCs w:val="22"/>
        </w:rPr>
        <w:t xml:space="preserve"> dispuso </w:t>
      </w:r>
      <w:r w:rsidR="00DD2A48">
        <w:rPr>
          <w:rFonts w:ascii="Verdana" w:hAnsi="Verdana"/>
          <w:sz w:val="22"/>
          <w:szCs w:val="22"/>
        </w:rPr>
        <w:t xml:space="preserve">en el acuerdo impugnado, aprobar el informe jurídico de recomendación final del procedimiento administrativo de caducidad de la concesión de </w:t>
      </w:r>
      <w:r>
        <w:rPr>
          <w:rFonts w:ascii="Verdana" w:hAnsi="Verdana"/>
          <w:sz w:val="22"/>
          <w:szCs w:val="22"/>
        </w:rPr>
        <w:t>la placa</w:t>
      </w:r>
      <w:r w:rsidR="00DD2A48">
        <w:rPr>
          <w:rFonts w:ascii="Verdana" w:hAnsi="Verdana"/>
          <w:sz w:val="22"/>
          <w:szCs w:val="22"/>
        </w:rPr>
        <w:t xml:space="preserve"> de Taxi </w:t>
      </w:r>
      <w:r>
        <w:rPr>
          <w:rFonts w:ascii="Verdana" w:hAnsi="Verdana"/>
          <w:sz w:val="22"/>
          <w:szCs w:val="22"/>
        </w:rPr>
        <w:t xml:space="preserve">número </w:t>
      </w:r>
      <w:r w:rsidR="00B4497B">
        <w:rPr>
          <w:rFonts w:ascii="Verdana" w:hAnsi="Verdana"/>
          <w:sz w:val="22"/>
          <w:szCs w:val="22"/>
        </w:rPr>
        <w:t>XXXX</w:t>
      </w:r>
      <w:r>
        <w:rPr>
          <w:rFonts w:ascii="Verdana" w:hAnsi="Verdana"/>
          <w:sz w:val="22"/>
          <w:szCs w:val="22"/>
        </w:rPr>
        <w:t>, que</w:t>
      </w:r>
      <w:r w:rsidR="00DD2A48">
        <w:rPr>
          <w:rFonts w:ascii="Verdana" w:hAnsi="Verdana"/>
          <w:sz w:val="22"/>
          <w:szCs w:val="22"/>
        </w:rPr>
        <w:t xml:space="preserve"> </w:t>
      </w:r>
      <w:r>
        <w:rPr>
          <w:rFonts w:ascii="Verdana" w:hAnsi="Verdana"/>
          <w:sz w:val="22"/>
          <w:szCs w:val="22"/>
        </w:rPr>
        <w:t>realizara la</w:t>
      </w:r>
      <w:r w:rsidR="00DD2A48">
        <w:rPr>
          <w:rFonts w:ascii="Verdana" w:hAnsi="Verdana"/>
          <w:sz w:val="22"/>
          <w:szCs w:val="22"/>
        </w:rPr>
        <w:t xml:space="preserve"> Dirección de Asuntos Jurídicos en oficio </w:t>
      </w:r>
      <w:r w:rsidR="00DD2A48" w:rsidRPr="00F72550">
        <w:rPr>
          <w:rFonts w:ascii="Verdana" w:hAnsi="Verdana"/>
          <w:b/>
          <w:sz w:val="22"/>
          <w:szCs w:val="22"/>
        </w:rPr>
        <w:t>DAJ-2015003733 de 30 de octubre de 2015</w:t>
      </w:r>
      <w:r w:rsidR="00DD2A48">
        <w:rPr>
          <w:rFonts w:ascii="Verdana" w:hAnsi="Verdana"/>
          <w:b/>
          <w:sz w:val="22"/>
          <w:szCs w:val="22"/>
        </w:rPr>
        <w:t>,</w:t>
      </w:r>
      <w:r w:rsidR="00DD2A48">
        <w:rPr>
          <w:rFonts w:ascii="Verdana" w:hAnsi="Verdana"/>
          <w:sz w:val="22"/>
          <w:szCs w:val="22"/>
        </w:rPr>
        <w:t xml:space="preserve"> y se dispone la caducidad de la concesión indicada </w:t>
      </w:r>
      <w:r>
        <w:rPr>
          <w:rFonts w:ascii="Verdana" w:hAnsi="Verdana"/>
          <w:sz w:val="22"/>
          <w:szCs w:val="22"/>
        </w:rPr>
        <w:t>por el</w:t>
      </w:r>
      <w:r w:rsidR="00DD2A48">
        <w:rPr>
          <w:rFonts w:ascii="Verdana" w:hAnsi="Verdana"/>
          <w:sz w:val="22"/>
          <w:szCs w:val="22"/>
        </w:rPr>
        <w:t xml:space="preserve"> no pago de la respectiva Póliza de Seguro del INS al vehículo que ampara la concesión.  (Léanse folios del 62 al 64 del expediente administrativo)</w:t>
      </w:r>
      <w:r w:rsidR="00DD2A48" w:rsidRPr="00884746">
        <w:rPr>
          <w:rFonts w:ascii="Verdana" w:hAnsi="Verdana"/>
          <w:sz w:val="22"/>
          <w:szCs w:val="22"/>
          <w:lang w:val="es-MX"/>
        </w:rPr>
        <w:t xml:space="preserve"> </w:t>
      </w:r>
    </w:p>
    <w:p w:rsidR="00EA3991" w:rsidRDefault="00EA3991" w:rsidP="00306E77">
      <w:pPr>
        <w:jc w:val="both"/>
        <w:rPr>
          <w:rFonts w:ascii="Verdana" w:hAnsi="Verdana"/>
          <w:b/>
          <w:sz w:val="22"/>
          <w:szCs w:val="22"/>
        </w:rPr>
      </w:pPr>
    </w:p>
    <w:p w:rsidR="00306E77" w:rsidRPr="00884746" w:rsidRDefault="00EA3991" w:rsidP="00306E77">
      <w:pPr>
        <w:jc w:val="both"/>
        <w:rPr>
          <w:rFonts w:ascii="Verdana" w:hAnsi="Verdana"/>
          <w:sz w:val="22"/>
          <w:szCs w:val="22"/>
        </w:rPr>
      </w:pPr>
      <w:r>
        <w:rPr>
          <w:rFonts w:ascii="Verdana" w:hAnsi="Verdana"/>
          <w:b/>
          <w:sz w:val="22"/>
          <w:szCs w:val="22"/>
        </w:rPr>
        <w:t>C</w:t>
      </w:r>
      <w:r w:rsidR="006A6BBB" w:rsidRPr="00884746">
        <w:rPr>
          <w:rFonts w:ascii="Verdana" w:hAnsi="Verdana"/>
          <w:b/>
          <w:smallCaps/>
          <w:sz w:val="22"/>
          <w:szCs w:val="22"/>
        </w:rPr>
        <w:t>). -</w:t>
      </w:r>
      <w:r w:rsidR="008C0A8B" w:rsidRPr="00884746">
        <w:rPr>
          <w:rFonts w:ascii="Verdana" w:hAnsi="Verdana"/>
          <w:b/>
          <w:smallCaps/>
          <w:sz w:val="22"/>
          <w:szCs w:val="22"/>
        </w:rPr>
        <w:t xml:space="preserve"> </w:t>
      </w:r>
      <w:r w:rsidR="00306E77" w:rsidRPr="00884746">
        <w:rPr>
          <w:rFonts w:ascii="Verdana" w:hAnsi="Verdana"/>
          <w:sz w:val="22"/>
          <w:szCs w:val="22"/>
          <w:lang w:val="es-MX"/>
        </w:rPr>
        <w:t xml:space="preserve">El </w:t>
      </w:r>
      <w:r w:rsidR="00306E77">
        <w:rPr>
          <w:rFonts w:ascii="Verdana" w:hAnsi="Verdana"/>
          <w:sz w:val="22"/>
          <w:szCs w:val="22"/>
        </w:rPr>
        <w:t xml:space="preserve">recurrente </w:t>
      </w:r>
      <w:r w:rsidR="00306E77" w:rsidRPr="00884746">
        <w:rPr>
          <w:rFonts w:ascii="Verdana" w:hAnsi="Verdana"/>
          <w:sz w:val="22"/>
          <w:szCs w:val="22"/>
        </w:rPr>
        <w:t>manifiesta</w:t>
      </w:r>
      <w:r w:rsidR="00306E77" w:rsidRPr="00A33A99">
        <w:rPr>
          <w:rFonts w:ascii="Verdana" w:hAnsi="Verdana"/>
          <w:sz w:val="22"/>
          <w:szCs w:val="22"/>
        </w:rPr>
        <w:t xml:space="preserve"> </w:t>
      </w:r>
      <w:r w:rsidR="00306E77">
        <w:rPr>
          <w:rFonts w:ascii="Verdana" w:hAnsi="Verdana"/>
          <w:sz w:val="22"/>
          <w:szCs w:val="22"/>
        </w:rPr>
        <w:t>en su escrito</w:t>
      </w:r>
      <w:r w:rsidR="00306E77" w:rsidRPr="00884746">
        <w:rPr>
          <w:rFonts w:ascii="Verdana" w:hAnsi="Verdana"/>
          <w:sz w:val="22"/>
          <w:szCs w:val="22"/>
        </w:rPr>
        <w:t xml:space="preserve"> </w:t>
      </w:r>
      <w:r w:rsidR="006A6BBB">
        <w:rPr>
          <w:rFonts w:ascii="Verdana" w:hAnsi="Verdana"/>
          <w:sz w:val="22"/>
          <w:szCs w:val="22"/>
        </w:rPr>
        <w:t xml:space="preserve">que </w:t>
      </w:r>
      <w:r w:rsidR="006A6BBB">
        <w:rPr>
          <w:rFonts w:ascii="Verdana" w:hAnsi="Verdana"/>
          <w:sz w:val="22"/>
          <w:szCs w:val="22"/>
          <w:lang w:val="es-MX"/>
        </w:rPr>
        <w:t>se</w:t>
      </w:r>
      <w:r w:rsidR="00306E77">
        <w:rPr>
          <w:rFonts w:ascii="Verdana" w:hAnsi="Verdana"/>
          <w:sz w:val="22"/>
          <w:szCs w:val="22"/>
          <w:lang w:val="es-MX"/>
        </w:rPr>
        <w:t xml:space="preserve"> encuentra disconforme </w:t>
      </w:r>
      <w:r w:rsidR="006A6BBB">
        <w:rPr>
          <w:rFonts w:ascii="Verdana" w:hAnsi="Verdana"/>
          <w:sz w:val="22"/>
          <w:szCs w:val="22"/>
          <w:lang w:val="es-MX"/>
        </w:rPr>
        <w:t>con lo</w:t>
      </w:r>
      <w:r w:rsidR="00306E77">
        <w:rPr>
          <w:rFonts w:ascii="Verdana" w:hAnsi="Verdana"/>
          <w:sz w:val="22"/>
          <w:szCs w:val="22"/>
          <w:lang w:val="es-MX"/>
        </w:rPr>
        <w:t xml:space="preserve"> actuado por la Administración ya </w:t>
      </w:r>
      <w:r w:rsidR="006A6BBB">
        <w:rPr>
          <w:rFonts w:ascii="Verdana" w:hAnsi="Verdana"/>
          <w:sz w:val="22"/>
          <w:szCs w:val="22"/>
          <w:lang w:val="es-MX"/>
        </w:rPr>
        <w:t>que se ha</w:t>
      </w:r>
      <w:r w:rsidR="00306E77">
        <w:rPr>
          <w:rFonts w:ascii="Verdana" w:hAnsi="Verdana"/>
          <w:sz w:val="22"/>
          <w:szCs w:val="22"/>
          <w:lang w:val="es-MX"/>
        </w:rPr>
        <w:t xml:space="preserve"> actuado por parte de la Administración de manera contraria a la normativa pues no se tomaron en cuenta varios aspectos tales como que es nuevo concesionario a partir del 30 de setiembre de 2014</w:t>
      </w:r>
      <w:r w:rsidR="00306E77" w:rsidRPr="00884746">
        <w:rPr>
          <w:rFonts w:ascii="Verdana" w:hAnsi="Verdana"/>
          <w:sz w:val="22"/>
          <w:szCs w:val="22"/>
          <w:lang w:val="es-MX"/>
        </w:rPr>
        <w:t>.</w:t>
      </w:r>
      <w:r w:rsidR="00306E77">
        <w:rPr>
          <w:rFonts w:ascii="Verdana" w:hAnsi="Verdana"/>
          <w:sz w:val="22"/>
          <w:szCs w:val="22"/>
          <w:lang w:val="es-MX"/>
        </w:rPr>
        <w:t xml:space="preserve">  El vehículo que amp</w:t>
      </w:r>
      <w:r w:rsidR="00F23A62">
        <w:rPr>
          <w:rFonts w:ascii="Verdana" w:hAnsi="Verdana"/>
          <w:sz w:val="22"/>
          <w:szCs w:val="22"/>
          <w:lang w:val="es-MX"/>
        </w:rPr>
        <w:t>a</w:t>
      </w:r>
      <w:r w:rsidR="00306E77">
        <w:rPr>
          <w:rFonts w:ascii="Verdana" w:hAnsi="Verdana"/>
          <w:sz w:val="22"/>
          <w:szCs w:val="22"/>
          <w:lang w:val="es-MX"/>
        </w:rPr>
        <w:t xml:space="preserve">raba la concesión de la placa </w:t>
      </w:r>
      <w:r w:rsidR="00B4497B">
        <w:rPr>
          <w:rFonts w:ascii="Verdana" w:hAnsi="Verdana"/>
          <w:sz w:val="22"/>
          <w:szCs w:val="22"/>
          <w:lang w:val="es-MX"/>
        </w:rPr>
        <w:t>XXX</w:t>
      </w:r>
      <w:r w:rsidR="00306E77">
        <w:rPr>
          <w:rFonts w:ascii="Verdana" w:hAnsi="Verdana"/>
          <w:sz w:val="22"/>
          <w:szCs w:val="22"/>
          <w:lang w:val="es-MX"/>
        </w:rPr>
        <w:t xml:space="preserve"> alcanzaba su vida útil el 31 de diciembre de 2014 y que sin la renovación que no se había concluido y debió estar terminada </w:t>
      </w:r>
      <w:r w:rsidR="006A6BBB">
        <w:rPr>
          <w:rFonts w:ascii="Verdana" w:hAnsi="Verdana"/>
          <w:sz w:val="22"/>
          <w:szCs w:val="22"/>
          <w:lang w:val="es-MX"/>
        </w:rPr>
        <w:t>un año</w:t>
      </w:r>
      <w:r w:rsidR="00306E77">
        <w:rPr>
          <w:rFonts w:ascii="Verdana" w:hAnsi="Verdana"/>
          <w:sz w:val="22"/>
          <w:szCs w:val="22"/>
          <w:lang w:val="es-MX"/>
        </w:rPr>
        <w:t xml:space="preserve"> atrás, en ningún Banco ni entidad financiera se le tenía como sujeto de crédito para adquirir una unidad nueva.  RITEVE, le certificó que la revisión </w:t>
      </w:r>
      <w:r w:rsidR="006A6BBB">
        <w:rPr>
          <w:rFonts w:ascii="Verdana" w:hAnsi="Verdana"/>
          <w:sz w:val="22"/>
          <w:szCs w:val="22"/>
          <w:lang w:val="es-MX"/>
        </w:rPr>
        <w:t>técnica del</w:t>
      </w:r>
      <w:r w:rsidR="00306E77">
        <w:rPr>
          <w:rFonts w:ascii="Verdana" w:hAnsi="Verdana"/>
          <w:sz w:val="22"/>
          <w:szCs w:val="22"/>
          <w:lang w:val="es-MX"/>
        </w:rPr>
        <w:t xml:space="preserve"> vehículo utilizado en la concesión solamente tenía vigencia hasta el 31 de mayo de 2015 lo cual solo se podía interpretar como una venia para prestar el servicio con ese vehículo hasta esa fecha.   Se presentó al INS de Heredia a pagar la renovación de la Póliza y se le indicó que por tener RITEVE vencida no podían recibir el pago.  Entendiendo que tenía hasta mayo 2015 para hacer el cambio de unidad inicio los </w:t>
      </w:r>
      <w:r w:rsidR="006A6BBB">
        <w:rPr>
          <w:rFonts w:ascii="Verdana" w:hAnsi="Verdana"/>
          <w:sz w:val="22"/>
          <w:szCs w:val="22"/>
          <w:lang w:val="es-MX"/>
        </w:rPr>
        <w:t>tramites de</w:t>
      </w:r>
      <w:r w:rsidR="00306E77">
        <w:rPr>
          <w:rFonts w:ascii="Verdana" w:hAnsi="Verdana"/>
          <w:sz w:val="22"/>
          <w:szCs w:val="22"/>
          <w:lang w:val="es-MX"/>
        </w:rPr>
        <w:t xml:space="preserve"> compra de un nuevo vehículo meses antes, sin </w:t>
      </w:r>
      <w:r w:rsidR="006A6BBB">
        <w:rPr>
          <w:rFonts w:ascii="Verdana" w:hAnsi="Verdana"/>
          <w:sz w:val="22"/>
          <w:szCs w:val="22"/>
          <w:lang w:val="es-MX"/>
        </w:rPr>
        <w:t>embargo,</w:t>
      </w:r>
      <w:r w:rsidR="00306E77">
        <w:rPr>
          <w:rFonts w:ascii="Verdana" w:hAnsi="Verdana"/>
          <w:sz w:val="22"/>
          <w:szCs w:val="22"/>
          <w:lang w:val="es-MX"/>
        </w:rPr>
        <w:t xml:space="preserve"> la compra del mismo fue a través de una financiera y se le complico y eso incidió en la presentación de la solicitud del cambio de unidad.  En fecha 24 de junio de 2015 se le realizó el traslado de cargos para un procedimiento administrativo en el que se indica la posible cancelación de la </w:t>
      </w:r>
      <w:r w:rsidR="00F23A62">
        <w:rPr>
          <w:rFonts w:ascii="Verdana" w:hAnsi="Verdana"/>
          <w:sz w:val="22"/>
          <w:szCs w:val="22"/>
          <w:lang w:val="es-MX"/>
        </w:rPr>
        <w:t>concesión</w:t>
      </w:r>
      <w:r w:rsidR="00306E77">
        <w:rPr>
          <w:rFonts w:ascii="Verdana" w:hAnsi="Verdana"/>
          <w:sz w:val="22"/>
          <w:szCs w:val="22"/>
          <w:lang w:val="es-MX"/>
        </w:rPr>
        <w:t xml:space="preserve"> señalando audiencia al 23 de octubre, lo que lo sumió en estado de incertidumbre e indefensión motivo por el cual tampoco sabía si debía continuar con el trámite de cambio de unidad y demuestra que desde julio adquirió la nueva unidad. </w:t>
      </w:r>
      <w:r w:rsidR="00306E77" w:rsidRPr="00884746">
        <w:rPr>
          <w:rFonts w:ascii="Verdana" w:hAnsi="Verdana"/>
          <w:sz w:val="22"/>
          <w:szCs w:val="22"/>
          <w:lang w:val="es-MX"/>
        </w:rPr>
        <w:t xml:space="preserve"> </w:t>
      </w:r>
      <w:r w:rsidR="00306E77">
        <w:rPr>
          <w:rFonts w:ascii="Verdana" w:hAnsi="Verdana"/>
          <w:sz w:val="22"/>
          <w:szCs w:val="22"/>
          <w:lang w:val="es-MX"/>
        </w:rPr>
        <w:t>En una escueta acta de menos de media página el órgano director averigua la verdad real de los hechos sin hacer un análisis debidamente circunstanciado en modo tiempo y lugar de la prueba y con tres preguntas que le hicieron toman la decisión</w:t>
      </w:r>
      <w:r w:rsidR="00306E77" w:rsidRPr="00884746">
        <w:rPr>
          <w:rFonts w:ascii="Verdana" w:hAnsi="Verdana"/>
          <w:sz w:val="22"/>
          <w:szCs w:val="22"/>
          <w:lang w:val="es-MX"/>
        </w:rPr>
        <w:t>.</w:t>
      </w:r>
      <w:r w:rsidR="00306E77">
        <w:rPr>
          <w:rFonts w:ascii="Verdana" w:hAnsi="Verdana"/>
          <w:sz w:val="22"/>
          <w:szCs w:val="22"/>
          <w:lang w:val="es-MX"/>
        </w:rPr>
        <w:t xml:space="preserve"> </w:t>
      </w:r>
      <w:r w:rsidR="00306E77" w:rsidRPr="00884746">
        <w:rPr>
          <w:rFonts w:ascii="Verdana" w:hAnsi="Verdana"/>
          <w:sz w:val="22"/>
          <w:szCs w:val="22"/>
          <w:lang w:val="es-MX"/>
        </w:rPr>
        <w:t xml:space="preserve"> </w:t>
      </w:r>
      <w:r w:rsidR="00306E77">
        <w:rPr>
          <w:rFonts w:ascii="Verdana" w:hAnsi="Verdana"/>
          <w:sz w:val="22"/>
          <w:szCs w:val="22"/>
          <w:lang w:val="es-MX"/>
        </w:rPr>
        <w:t>Decidió continuar con el trámite de cambio de unidad y presento el mismo el que se le aprobó el 10 de noviembre y 3 días después recibió una notificación del acuerdo recurrido, sea dos dependencias dictando actos contrarios</w:t>
      </w:r>
      <w:r w:rsidR="00306E77" w:rsidRPr="00884746">
        <w:rPr>
          <w:rFonts w:ascii="Verdana" w:hAnsi="Verdana"/>
          <w:sz w:val="22"/>
          <w:szCs w:val="22"/>
          <w:lang w:val="es-MX"/>
        </w:rPr>
        <w:t xml:space="preserve">.  </w:t>
      </w:r>
      <w:r w:rsidR="00306E77">
        <w:rPr>
          <w:rFonts w:ascii="Verdana" w:hAnsi="Verdana"/>
          <w:sz w:val="22"/>
          <w:szCs w:val="22"/>
          <w:lang w:val="es-MX"/>
        </w:rPr>
        <w:t xml:space="preserve">El acuerdo impugnado es violatorio del debido proceso y el principio de Legalidad ya que </w:t>
      </w:r>
      <w:r w:rsidR="006A6BBB">
        <w:rPr>
          <w:rFonts w:ascii="Verdana" w:hAnsi="Verdana"/>
          <w:sz w:val="22"/>
          <w:szCs w:val="22"/>
          <w:lang w:val="es-MX"/>
        </w:rPr>
        <w:t>aun</w:t>
      </w:r>
      <w:r w:rsidR="00306E77">
        <w:rPr>
          <w:rFonts w:ascii="Verdana" w:hAnsi="Verdana"/>
          <w:sz w:val="22"/>
          <w:szCs w:val="22"/>
          <w:lang w:val="es-MX"/>
        </w:rPr>
        <w:t xml:space="preserve"> cuando el recurrente actuó inducido a error por la misma Administración le imponen la sanción más gravosa en clara inobservancia del principio de gradualidad de la sanción</w:t>
      </w:r>
      <w:r w:rsidR="00306E77" w:rsidRPr="00884746">
        <w:rPr>
          <w:rFonts w:ascii="Verdana" w:hAnsi="Verdana"/>
          <w:sz w:val="22"/>
          <w:szCs w:val="22"/>
          <w:lang w:val="es-MX"/>
        </w:rPr>
        <w:t>.</w:t>
      </w:r>
      <w:r w:rsidR="00306E77">
        <w:rPr>
          <w:rFonts w:ascii="Verdana" w:hAnsi="Verdana"/>
          <w:sz w:val="22"/>
          <w:szCs w:val="22"/>
          <w:lang w:val="es-MX"/>
        </w:rPr>
        <w:t xml:space="preserve"> </w:t>
      </w:r>
      <w:r w:rsidR="00306E77" w:rsidRPr="00884746">
        <w:rPr>
          <w:rFonts w:ascii="Verdana" w:hAnsi="Verdana"/>
          <w:sz w:val="22"/>
          <w:szCs w:val="22"/>
        </w:rPr>
        <w:t>(</w:t>
      </w:r>
      <w:r w:rsidR="00306E77">
        <w:rPr>
          <w:rFonts w:ascii="Verdana" w:hAnsi="Verdana"/>
          <w:sz w:val="22"/>
          <w:szCs w:val="22"/>
        </w:rPr>
        <w:t>L</w:t>
      </w:r>
      <w:r w:rsidR="00306E77" w:rsidRPr="00884746">
        <w:rPr>
          <w:rFonts w:ascii="Verdana" w:hAnsi="Verdana"/>
          <w:sz w:val="22"/>
          <w:szCs w:val="22"/>
        </w:rPr>
        <w:t xml:space="preserve">éase folios </w:t>
      </w:r>
      <w:r w:rsidR="00306E77">
        <w:rPr>
          <w:rFonts w:ascii="Verdana" w:hAnsi="Verdana"/>
          <w:sz w:val="22"/>
          <w:szCs w:val="22"/>
        </w:rPr>
        <w:t xml:space="preserve">34 </w:t>
      </w:r>
      <w:r w:rsidR="006A6BBB">
        <w:rPr>
          <w:rFonts w:ascii="Verdana" w:hAnsi="Verdana"/>
          <w:sz w:val="22"/>
          <w:szCs w:val="22"/>
        </w:rPr>
        <w:t xml:space="preserve">vuelto </w:t>
      </w:r>
      <w:r w:rsidR="006A6BBB" w:rsidRPr="00884746">
        <w:rPr>
          <w:rFonts w:ascii="Verdana" w:hAnsi="Verdana"/>
          <w:sz w:val="22"/>
          <w:szCs w:val="22"/>
        </w:rPr>
        <w:t>al</w:t>
      </w:r>
      <w:r w:rsidR="00306E77" w:rsidRPr="00884746">
        <w:rPr>
          <w:rFonts w:ascii="Verdana" w:hAnsi="Verdana"/>
          <w:sz w:val="22"/>
          <w:szCs w:val="22"/>
        </w:rPr>
        <w:t xml:space="preserve"> </w:t>
      </w:r>
      <w:r w:rsidR="00306E77">
        <w:rPr>
          <w:rFonts w:ascii="Verdana" w:hAnsi="Verdana"/>
          <w:sz w:val="22"/>
          <w:szCs w:val="22"/>
        </w:rPr>
        <w:t>36</w:t>
      </w:r>
      <w:r w:rsidR="00306E77" w:rsidRPr="00884746">
        <w:rPr>
          <w:rFonts w:ascii="Verdana" w:hAnsi="Verdana"/>
          <w:sz w:val="22"/>
          <w:szCs w:val="22"/>
        </w:rPr>
        <w:t xml:space="preserve"> del expediente administrativo)</w:t>
      </w:r>
      <w:r w:rsidR="00306E77">
        <w:rPr>
          <w:rFonts w:ascii="Verdana" w:hAnsi="Verdana"/>
          <w:sz w:val="22"/>
          <w:szCs w:val="22"/>
        </w:rPr>
        <w:t>.</w:t>
      </w:r>
    </w:p>
    <w:p w:rsidR="00EA3991" w:rsidRDefault="00EA3991" w:rsidP="00EA3991">
      <w:pPr>
        <w:jc w:val="both"/>
        <w:rPr>
          <w:rFonts w:ascii="Verdana" w:hAnsi="Verdana"/>
          <w:b/>
          <w:sz w:val="22"/>
          <w:szCs w:val="22"/>
          <w:lang w:val="es-MX"/>
        </w:rPr>
      </w:pPr>
    </w:p>
    <w:p w:rsidR="00EA3991" w:rsidRDefault="00EA3991" w:rsidP="00EA3991">
      <w:pPr>
        <w:jc w:val="both"/>
        <w:rPr>
          <w:rFonts w:ascii="Verdana" w:hAnsi="Verdana"/>
          <w:i/>
          <w:sz w:val="22"/>
          <w:szCs w:val="22"/>
          <w:lang w:val="es-MX"/>
        </w:rPr>
      </w:pPr>
      <w:r w:rsidRPr="00EA3991">
        <w:rPr>
          <w:rFonts w:ascii="Verdana" w:hAnsi="Verdana"/>
          <w:b/>
          <w:sz w:val="22"/>
          <w:szCs w:val="22"/>
          <w:lang w:val="es-MX"/>
        </w:rPr>
        <w:t>D). -</w:t>
      </w:r>
      <w:r>
        <w:rPr>
          <w:rFonts w:ascii="Verdana" w:hAnsi="Verdana"/>
          <w:sz w:val="22"/>
          <w:szCs w:val="22"/>
          <w:lang w:val="es-MX"/>
        </w:rPr>
        <w:t xml:space="preserve"> </w:t>
      </w:r>
      <w:r w:rsidRPr="0044623D">
        <w:rPr>
          <w:rFonts w:ascii="Verdana" w:hAnsi="Verdana"/>
          <w:sz w:val="22"/>
          <w:szCs w:val="22"/>
          <w:lang w:val="es-MX"/>
        </w:rPr>
        <w:t xml:space="preserve">La comparecencia oral </w:t>
      </w:r>
      <w:r>
        <w:rPr>
          <w:rFonts w:ascii="Verdana" w:hAnsi="Verdana"/>
          <w:sz w:val="22"/>
          <w:szCs w:val="22"/>
          <w:lang w:val="es-MX"/>
        </w:rPr>
        <w:t xml:space="preserve">se realizó el día 23 de octubre de 2015 y en la parte de conclusiones el señor </w:t>
      </w:r>
      <w:r w:rsidR="00B4497B">
        <w:rPr>
          <w:rFonts w:ascii="Verdana" w:hAnsi="Verdana"/>
          <w:b/>
          <w:smallCaps/>
          <w:sz w:val="22"/>
          <w:szCs w:val="22"/>
        </w:rPr>
        <w:t>J.S.J.</w:t>
      </w:r>
      <w:r w:rsidR="00B4497B">
        <w:rPr>
          <w:rFonts w:ascii="Verdana" w:hAnsi="Verdana"/>
          <w:b/>
          <w:smallCaps/>
          <w:sz w:val="22"/>
          <w:szCs w:val="22"/>
        </w:rPr>
        <w:t xml:space="preserve"> </w:t>
      </w:r>
      <w:r>
        <w:rPr>
          <w:rFonts w:ascii="Verdana" w:hAnsi="Verdana"/>
          <w:sz w:val="22"/>
          <w:szCs w:val="22"/>
          <w:lang w:val="es-MX"/>
        </w:rPr>
        <w:t xml:space="preserve">indicó según lo transcrito en el acta lo siguiente: </w:t>
      </w:r>
      <w:r w:rsidRPr="002A382F">
        <w:rPr>
          <w:rFonts w:ascii="Verdana" w:hAnsi="Verdana"/>
          <w:i/>
          <w:sz w:val="22"/>
          <w:szCs w:val="22"/>
          <w:lang w:val="es-MX"/>
        </w:rPr>
        <w:t xml:space="preserve">“Debo informar que estoy realizando un cambio de unidad, por una </w:t>
      </w:r>
      <w:r w:rsidRPr="002A382F">
        <w:rPr>
          <w:rFonts w:ascii="Verdana" w:hAnsi="Verdana"/>
          <w:i/>
          <w:sz w:val="22"/>
          <w:szCs w:val="22"/>
          <w:lang w:val="es-MX"/>
        </w:rPr>
        <w:lastRenderedPageBreak/>
        <w:t xml:space="preserve">unidad año 2006, la cual está debidamente asegurada por el INS, aporto documento.  Dentro de la gestión que estoy realizando debo aclarar que debe de existir la póliza faltante, ya que el trámite me lo está gestionando un tramitador, también refiero que al vehículo en cuestión la revisión técnica venció en mayo, razón por la cual el INS ya no me aseguraba por el tiempo siguiente.  Pregunta el Órgano ¿Por qué si venció RTV en mayo, gestionó el cambio hasta octubre del 2015? R/ Debo mencionar que el vehículo que adquirí, fue por medio de un financiamiento con la </w:t>
      </w:r>
      <w:r w:rsidR="00B4497B">
        <w:rPr>
          <w:rFonts w:ascii="Verdana" w:hAnsi="Verdana"/>
          <w:i/>
          <w:sz w:val="22"/>
          <w:szCs w:val="22"/>
          <w:lang w:val="es-MX"/>
        </w:rPr>
        <w:t>XXXX</w:t>
      </w:r>
      <w:r w:rsidRPr="002A382F">
        <w:rPr>
          <w:rFonts w:ascii="Verdana" w:hAnsi="Verdana"/>
          <w:i/>
          <w:sz w:val="22"/>
          <w:szCs w:val="22"/>
          <w:lang w:val="es-MX"/>
        </w:rPr>
        <w:t>, razón por la cual debía seguir pagando el préstamo</w:t>
      </w:r>
      <w:r>
        <w:rPr>
          <w:rFonts w:ascii="Verdana" w:hAnsi="Verdana"/>
          <w:i/>
          <w:sz w:val="22"/>
          <w:szCs w:val="22"/>
          <w:lang w:val="es-MX"/>
        </w:rPr>
        <w:t>”. (Léase folio 66 del expediente administrativo)</w:t>
      </w:r>
    </w:p>
    <w:p w:rsidR="00EA3991" w:rsidRDefault="00EA3991" w:rsidP="00EA3991">
      <w:pPr>
        <w:jc w:val="both"/>
        <w:rPr>
          <w:rFonts w:ascii="Verdana" w:hAnsi="Verdana"/>
          <w:i/>
          <w:sz w:val="22"/>
          <w:szCs w:val="22"/>
          <w:lang w:val="es-MX"/>
        </w:rPr>
      </w:pPr>
    </w:p>
    <w:p w:rsidR="00EA3991" w:rsidRDefault="00EA3991" w:rsidP="00EA3991">
      <w:pPr>
        <w:jc w:val="both"/>
        <w:rPr>
          <w:rFonts w:ascii="Verdana" w:hAnsi="Verdana"/>
          <w:sz w:val="22"/>
          <w:szCs w:val="22"/>
          <w:lang w:val="es-MX"/>
        </w:rPr>
      </w:pPr>
      <w:r w:rsidRPr="00EA3991">
        <w:rPr>
          <w:rFonts w:ascii="Verdana" w:hAnsi="Verdana"/>
          <w:b/>
          <w:sz w:val="22"/>
          <w:szCs w:val="22"/>
          <w:lang w:val="es-MX"/>
        </w:rPr>
        <w:t>E). -</w:t>
      </w:r>
      <w:r>
        <w:rPr>
          <w:rFonts w:ascii="Verdana" w:hAnsi="Verdana"/>
          <w:sz w:val="22"/>
          <w:szCs w:val="22"/>
          <w:lang w:val="es-MX"/>
        </w:rPr>
        <w:t xml:space="preserve"> El Instituto Nacional de Seguros sede Alajuela hace constar que el vehículo </w:t>
      </w:r>
      <w:r w:rsidR="00B4497B">
        <w:rPr>
          <w:rFonts w:ascii="Verdana" w:hAnsi="Verdana"/>
          <w:sz w:val="22"/>
          <w:szCs w:val="22"/>
          <w:lang w:val="es-MX"/>
        </w:rPr>
        <w:t>XXX</w:t>
      </w:r>
      <w:r>
        <w:rPr>
          <w:rFonts w:ascii="Verdana" w:hAnsi="Verdana"/>
          <w:sz w:val="22"/>
          <w:szCs w:val="22"/>
          <w:lang w:val="es-MX"/>
        </w:rPr>
        <w:t xml:space="preserve"> número de chasis </w:t>
      </w:r>
      <w:r w:rsidR="00B4497B">
        <w:rPr>
          <w:rFonts w:ascii="Verdana" w:hAnsi="Verdana"/>
          <w:b/>
          <w:sz w:val="22"/>
          <w:szCs w:val="22"/>
          <w:lang w:val="es-MX"/>
        </w:rPr>
        <w:t>XXXX</w:t>
      </w:r>
      <w:r w:rsidRPr="00493C79">
        <w:rPr>
          <w:rFonts w:ascii="Verdana" w:hAnsi="Verdana"/>
          <w:b/>
          <w:sz w:val="22"/>
          <w:szCs w:val="22"/>
          <w:lang w:val="es-MX"/>
        </w:rPr>
        <w:t xml:space="preserve"> Placa </w:t>
      </w:r>
      <w:r w:rsidR="00B4497B">
        <w:rPr>
          <w:rFonts w:ascii="Verdana" w:hAnsi="Verdana"/>
          <w:b/>
          <w:sz w:val="22"/>
          <w:szCs w:val="22"/>
          <w:lang w:val="es-MX"/>
        </w:rPr>
        <w:t>XXXX</w:t>
      </w:r>
      <w:r w:rsidRPr="00493C79">
        <w:rPr>
          <w:rFonts w:ascii="Verdana" w:hAnsi="Verdana"/>
          <w:b/>
          <w:sz w:val="22"/>
          <w:szCs w:val="22"/>
          <w:lang w:val="es-MX"/>
        </w:rPr>
        <w:t xml:space="preserve">, cuenta con póliza </w:t>
      </w:r>
      <w:r w:rsidR="00B4497B">
        <w:rPr>
          <w:rFonts w:ascii="Verdana" w:hAnsi="Verdana"/>
          <w:b/>
          <w:sz w:val="22"/>
          <w:szCs w:val="22"/>
          <w:lang w:val="es-MX"/>
        </w:rPr>
        <w:t>XXX</w:t>
      </w:r>
      <w:r>
        <w:rPr>
          <w:rFonts w:ascii="Verdana" w:hAnsi="Verdana"/>
          <w:b/>
          <w:sz w:val="22"/>
          <w:szCs w:val="22"/>
          <w:lang w:val="es-MX"/>
        </w:rPr>
        <w:t xml:space="preserve">, </w:t>
      </w:r>
      <w:r>
        <w:rPr>
          <w:rFonts w:ascii="Verdana" w:hAnsi="Verdana"/>
          <w:sz w:val="22"/>
          <w:szCs w:val="22"/>
          <w:lang w:val="es-MX"/>
        </w:rPr>
        <w:t>con vigencia del 28 de febrero de 2015 al 28 de agosto de 2015 y el último periodo pagado fue del 28 de febrero al 28 de mayo de 2015. (Léanse folios 68 y 69 del expediente administrativo)</w:t>
      </w:r>
    </w:p>
    <w:p w:rsidR="00EA3991" w:rsidRDefault="00EA3991" w:rsidP="00EA3991">
      <w:pPr>
        <w:jc w:val="both"/>
        <w:rPr>
          <w:rFonts w:ascii="Verdana" w:hAnsi="Verdana"/>
          <w:sz w:val="22"/>
          <w:szCs w:val="22"/>
          <w:lang w:val="es-MX"/>
        </w:rPr>
      </w:pPr>
    </w:p>
    <w:p w:rsidR="00EA3991" w:rsidRDefault="00EA3991" w:rsidP="00EA3991">
      <w:pPr>
        <w:jc w:val="both"/>
        <w:rPr>
          <w:rFonts w:ascii="Verdana" w:hAnsi="Verdana"/>
          <w:sz w:val="22"/>
          <w:szCs w:val="22"/>
          <w:lang w:val="es-MX"/>
        </w:rPr>
      </w:pPr>
      <w:r w:rsidRPr="00EA3991">
        <w:rPr>
          <w:rFonts w:ascii="Verdana" w:hAnsi="Verdana"/>
          <w:b/>
          <w:sz w:val="22"/>
          <w:szCs w:val="22"/>
          <w:lang w:val="es-MX"/>
        </w:rPr>
        <w:t>F). -</w:t>
      </w:r>
      <w:r>
        <w:rPr>
          <w:rFonts w:ascii="Verdana" w:hAnsi="Verdana"/>
          <w:sz w:val="22"/>
          <w:szCs w:val="22"/>
          <w:lang w:val="es-MX"/>
        </w:rPr>
        <w:t xml:space="preserve"> </w:t>
      </w:r>
      <w:r w:rsidRPr="007A01CC">
        <w:rPr>
          <w:rFonts w:ascii="Verdana" w:hAnsi="Verdana"/>
          <w:sz w:val="22"/>
          <w:szCs w:val="22"/>
          <w:lang w:val="es-MX"/>
        </w:rPr>
        <w:t xml:space="preserve">A folio 70 del expediente consta documento del Instituto Nacional de Seguros donde indica sobre Póliza </w:t>
      </w:r>
      <w:r w:rsidR="00B4497B">
        <w:rPr>
          <w:rFonts w:ascii="Verdana" w:hAnsi="Verdana"/>
          <w:b/>
          <w:sz w:val="22"/>
          <w:szCs w:val="22"/>
          <w:lang w:val="es-MX"/>
        </w:rPr>
        <w:t>XXX</w:t>
      </w:r>
      <w:r>
        <w:rPr>
          <w:rFonts w:ascii="Verdana" w:hAnsi="Verdana"/>
          <w:b/>
          <w:sz w:val="22"/>
          <w:szCs w:val="22"/>
          <w:lang w:val="es-MX"/>
        </w:rPr>
        <w:t xml:space="preserve"> </w:t>
      </w:r>
      <w:r>
        <w:rPr>
          <w:rFonts w:ascii="Verdana" w:hAnsi="Verdana"/>
          <w:sz w:val="22"/>
          <w:szCs w:val="22"/>
          <w:lang w:val="es-MX"/>
        </w:rPr>
        <w:t xml:space="preserve">con vigencia 29-06-2015 hasta 12 de junio de 2016 del vehículo </w:t>
      </w:r>
      <w:r w:rsidR="00B4497B">
        <w:rPr>
          <w:rFonts w:ascii="Verdana" w:hAnsi="Verdana"/>
          <w:b/>
          <w:sz w:val="22"/>
          <w:szCs w:val="22"/>
          <w:lang w:val="es-MX"/>
        </w:rPr>
        <w:t>XXXX</w:t>
      </w:r>
      <w:r>
        <w:rPr>
          <w:rFonts w:ascii="Verdana" w:hAnsi="Verdana"/>
          <w:b/>
          <w:sz w:val="22"/>
          <w:szCs w:val="22"/>
          <w:lang w:val="es-MX"/>
        </w:rPr>
        <w:t xml:space="preserve">, </w:t>
      </w:r>
      <w:r>
        <w:rPr>
          <w:rFonts w:ascii="Verdana" w:hAnsi="Verdana"/>
          <w:sz w:val="22"/>
          <w:szCs w:val="22"/>
          <w:lang w:val="es-MX"/>
        </w:rPr>
        <w:t xml:space="preserve">cuyo dueño es el señor </w:t>
      </w:r>
      <w:r w:rsidR="00B4497B">
        <w:rPr>
          <w:rFonts w:ascii="Verdana" w:hAnsi="Verdana"/>
          <w:b/>
          <w:smallCaps/>
          <w:sz w:val="22"/>
          <w:szCs w:val="22"/>
        </w:rPr>
        <w:t>J.S.J.</w:t>
      </w:r>
      <w:r>
        <w:rPr>
          <w:rFonts w:ascii="Verdana" w:hAnsi="Verdana"/>
          <w:sz w:val="22"/>
          <w:szCs w:val="22"/>
          <w:lang w:val="es-MX"/>
        </w:rPr>
        <w:t>.</w:t>
      </w:r>
    </w:p>
    <w:p w:rsidR="00EA3991" w:rsidRDefault="00EA3991" w:rsidP="00EA3991">
      <w:pPr>
        <w:jc w:val="both"/>
        <w:rPr>
          <w:rFonts w:ascii="Verdana" w:hAnsi="Verdana"/>
          <w:sz w:val="22"/>
          <w:szCs w:val="22"/>
          <w:lang w:val="es-MX"/>
        </w:rPr>
      </w:pPr>
    </w:p>
    <w:p w:rsidR="00EA3991" w:rsidRDefault="00EA3991" w:rsidP="00EA3991">
      <w:pPr>
        <w:jc w:val="both"/>
        <w:rPr>
          <w:rFonts w:ascii="Verdana" w:hAnsi="Verdana"/>
          <w:sz w:val="22"/>
          <w:szCs w:val="22"/>
          <w:lang w:val="es-MX"/>
        </w:rPr>
      </w:pPr>
    </w:p>
    <w:p w:rsidR="00EA3991" w:rsidRPr="00252EF5" w:rsidRDefault="00EA3991" w:rsidP="00EA3991">
      <w:pPr>
        <w:jc w:val="both"/>
        <w:rPr>
          <w:rFonts w:ascii="Verdana" w:hAnsi="Verdana"/>
          <w:sz w:val="22"/>
          <w:szCs w:val="22"/>
          <w:lang w:val="es-MX"/>
        </w:rPr>
      </w:pPr>
      <w:r w:rsidRPr="00EA3991">
        <w:rPr>
          <w:rFonts w:ascii="Verdana" w:hAnsi="Verdana"/>
          <w:b/>
          <w:sz w:val="22"/>
          <w:szCs w:val="22"/>
          <w:lang w:val="es-MX"/>
        </w:rPr>
        <w:t>G). -</w:t>
      </w:r>
      <w:r>
        <w:rPr>
          <w:rFonts w:ascii="Verdana" w:hAnsi="Verdana"/>
          <w:sz w:val="22"/>
          <w:szCs w:val="22"/>
          <w:lang w:val="es-MX"/>
        </w:rPr>
        <w:t xml:space="preserve"> Según lo indicado por la Dirección de Asuntos Jurídicos del CTP en su informe 2016-000402 de 8 de febrero de 2016 y visible a folio 4 del expediente</w:t>
      </w:r>
      <w:r w:rsidR="00F23A62">
        <w:rPr>
          <w:rFonts w:ascii="Verdana" w:hAnsi="Verdana"/>
          <w:sz w:val="22"/>
          <w:szCs w:val="22"/>
          <w:lang w:val="es-MX"/>
        </w:rPr>
        <w:t>,</w:t>
      </w:r>
      <w:r>
        <w:rPr>
          <w:rFonts w:ascii="Verdana" w:hAnsi="Verdana"/>
          <w:sz w:val="22"/>
          <w:szCs w:val="22"/>
          <w:lang w:val="es-MX"/>
        </w:rPr>
        <w:t xml:space="preserve"> el recurrente presentó la solicitud de cambio de unidad hasta el 22 de octubre del año 2015, por su parte el mismo recurrente en su recurso a folio 35 del expediente administrativo indica que la autorización de cambio de placa se dio hasta el 10 de noviembre de 2015.</w:t>
      </w:r>
    </w:p>
    <w:p w:rsidR="00EA3991" w:rsidRDefault="00EA3991" w:rsidP="008C0A8B">
      <w:pPr>
        <w:jc w:val="both"/>
        <w:rPr>
          <w:rFonts w:ascii="Verdana" w:hAnsi="Verdana"/>
          <w:b/>
          <w:sz w:val="22"/>
          <w:szCs w:val="22"/>
        </w:rPr>
      </w:pPr>
    </w:p>
    <w:p w:rsidR="00EA3991" w:rsidRDefault="00EA3991" w:rsidP="008C0A8B">
      <w:pPr>
        <w:jc w:val="both"/>
        <w:rPr>
          <w:rFonts w:ascii="Verdana" w:hAnsi="Verdana"/>
          <w:b/>
          <w:sz w:val="22"/>
          <w:szCs w:val="22"/>
        </w:rPr>
      </w:pPr>
    </w:p>
    <w:p w:rsidR="00EA3991" w:rsidRDefault="00EA3991" w:rsidP="00EA3991">
      <w:pPr>
        <w:jc w:val="both"/>
        <w:rPr>
          <w:rFonts w:ascii="Verdana" w:hAnsi="Verdana"/>
          <w:sz w:val="22"/>
          <w:szCs w:val="22"/>
          <w:lang w:val="es-MX"/>
        </w:rPr>
      </w:pPr>
      <w:r>
        <w:rPr>
          <w:rFonts w:ascii="Verdana" w:hAnsi="Verdana"/>
          <w:b/>
          <w:sz w:val="22"/>
          <w:szCs w:val="22"/>
        </w:rPr>
        <w:t>H</w:t>
      </w:r>
      <w:r w:rsidRPr="00884746">
        <w:rPr>
          <w:rFonts w:ascii="Verdana" w:hAnsi="Verdana"/>
          <w:b/>
          <w:sz w:val="22"/>
          <w:szCs w:val="22"/>
        </w:rPr>
        <w:t xml:space="preserve">). -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rechaza mediante </w:t>
      </w:r>
      <w:r w:rsidRPr="003B04A7">
        <w:rPr>
          <w:rFonts w:ascii="Verdana" w:hAnsi="Verdana"/>
          <w:b/>
          <w:sz w:val="22"/>
          <w:szCs w:val="22"/>
          <w:lang w:val="es-MX"/>
        </w:rPr>
        <w:t xml:space="preserve">Artículo </w:t>
      </w:r>
      <w:r>
        <w:rPr>
          <w:rFonts w:ascii="Verdana" w:hAnsi="Verdana"/>
          <w:b/>
          <w:sz w:val="22"/>
          <w:szCs w:val="22"/>
          <w:lang w:val="es-MX"/>
        </w:rPr>
        <w:t xml:space="preserve">7.12.5 de la Sesión Ordinaria 07-2016 de 17 de febrero de 2016, </w:t>
      </w:r>
      <w:r>
        <w:rPr>
          <w:rFonts w:ascii="Verdana" w:hAnsi="Verdana"/>
          <w:sz w:val="22"/>
          <w:szCs w:val="22"/>
          <w:lang w:val="es-MX"/>
        </w:rPr>
        <w:t>conoce y acoge el informe de la Dirección de Asuntos Jurídicos DAJ</w:t>
      </w:r>
      <w:r w:rsidRPr="00711DC0">
        <w:rPr>
          <w:rFonts w:ascii="Verdana" w:hAnsi="Verdana"/>
          <w:b/>
          <w:sz w:val="22"/>
          <w:szCs w:val="22"/>
          <w:lang w:val="es-MX"/>
        </w:rPr>
        <w:t>-2016000402 de 8 de febrero de 2016</w:t>
      </w:r>
      <w:r>
        <w:rPr>
          <w:rFonts w:ascii="Verdana" w:hAnsi="Verdana"/>
          <w:b/>
          <w:sz w:val="22"/>
          <w:szCs w:val="22"/>
          <w:lang w:val="es-MX"/>
        </w:rPr>
        <w:t xml:space="preserve"> </w:t>
      </w:r>
      <w:r>
        <w:rPr>
          <w:rFonts w:ascii="Verdana" w:hAnsi="Verdana"/>
          <w:sz w:val="22"/>
          <w:szCs w:val="22"/>
          <w:lang w:val="es-MX"/>
        </w:rPr>
        <w:t xml:space="preserve">y rechaza por improcedente el Recurso de Revocatoria, así como la Nulidad concomitante, por tenerse que se demostró el no pago de la Póliza del INS en el vehículo que amparaba la concesión </w:t>
      </w:r>
      <w:r w:rsidR="00B4497B">
        <w:rPr>
          <w:rFonts w:ascii="Verdana" w:hAnsi="Verdana"/>
          <w:sz w:val="22"/>
          <w:szCs w:val="22"/>
          <w:lang w:val="es-MX"/>
        </w:rPr>
        <w:t>XXXX</w:t>
      </w:r>
      <w:r>
        <w:rPr>
          <w:rFonts w:ascii="Verdana" w:hAnsi="Verdana"/>
          <w:sz w:val="22"/>
          <w:szCs w:val="22"/>
          <w:lang w:val="es-MX"/>
        </w:rPr>
        <w:t xml:space="preserve"> a partir del mes de mayo de 2015.  Así mismo se consideró que el acto administrativo no presentaba vicios en sus elementos constitutivos que pudieran dar como resultado la anulación del acto.</w:t>
      </w:r>
      <w:r w:rsidRPr="00884746">
        <w:rPr>
          <w:rFonts w:ascii="Verdana" w:hAnsi="Verdana"/>
          <w:sz w:val="22"/>
          <w:szCs w:val="22"/>
          <w:lang w:val="es-MX"/>
        </w:rPr>
        <w:t xml:space="preserve"> (</w:t>
      </w:r>
      <w:r>
        <w:rPr>
          <w:rFonts w:ascii="Verdana" w:hAnsi="Verdana"/>
          <w:sz w:val="22"/>
          <w:szCs w:val="22"/>
          <w:lang w:val="es-MX"/>
        </w:rPr>
        <w:t>L</w:t>
      </w:r>
      <w:r w:rsidRPr="00884746">
        <w:rPr>
          <w:rFonts w:ascii="Verdana" w:hAnsi="Verdana"/>
          <w:sz w:val="22"/>
          <w:szCs w:val="22"/>
          <w:lang w:val="es-MX"/>
        </w:rPr>
        <w:t xml:space="preserve">éase folios del 1 al </w:t>
      </w:r>
      <w:r>
        <w:rPr>
          <w:rFonts w:ascii="Verdana" w:hAnsi="Verdana"/>
          <w:sz w:val="22"/>
          <w:szCs w:val="22"/>
          <w:lang w:val="es-MX"/>
        </w:rPr>
        <w:t>5</w:t>
      </w:r>
      <w:r w:rsidRPr="00884746">
        <w:rPr>
          <w:rFonts w:ascii="Verdana" w:hAnsi="Verdana"/>
          <w:sz w:val="22"/>
          <w:szCs w:val="22"/>
          <w:lang w:val="es-MX"/>
        </w:rPr>
        <w:t xml:space="preserve"> del expediente administrativo)</w:t>
      </w:r>
      <w:r>
        <w:rPr>
          <w:rFonts w:ascii="Verdana" w:hAnsi="Verdana"/>
          <w:sz w:val="22"/>
          <w:szCs w:val="22"/>
          <w:lang w:val="es-MX"/>
        </w:rPr>
        <w:t>.</w:t>
      </w:r>
    </w:p>
    <w:p w:rsidR="00EA3991" w:rsidRDefault="00EA3991" w:rsidP="008C0A8B">
      <w:pPr>
        <w:jc w:val="both"/>
        <w:rPr>
          <w:rFonts w:ascii="Verdana" w:hAnsi="Verdana"/>
          <w:b/>
          <w:sz w:val="22"/>
          <w:szCs w:val="22"/>
        </w:rPr>
      </w:pPr>
    </w:p>
    <w:p w:rsidR="008C0A8B" w:rsidRPr="00884746" w:rsidRDefault="008C0A8B" w:rsidP="008C0A8B">
      <w:pPr>
        <w:jc w:val="both"/>
        <w:rPr>
          <w:rFonts w:ascii="Verdana" w:hAnsi="Verdana"/>
          <w:b/>
          <w:sz w:val="22"/>
          <w:szCs w:val="22"/>
        </w:rPr>
      </w:pPr>
      <w:r w:rsidRPr="00884746">
        <w:rPr>
          <w:rFonts w:ascii="Verdana" w:hAnsi="Verdana"/>
          <w:b/>
          <w:sz w:val="22"/>
          <w:szCs w:val="22"/>
        </w:rPr>
        <w:t>4.- HECHOS NO PROBADOS</w:t>
      </w:r>
    </w:p>
    <w:p w:rsidR="008C0A8B" w:rsidRPr="00884746" w:rsidRDefault="008C0A8B" w:rsidP="008C0A8B">
      <w:pPr>
        <w:jc w:val="both"/>
        <w:rPr>
          <w:rFonts w:ascii="Verdana" w:hAnsi="Verdana"/>
          <w:b/>
          <w:sz w:val="22"/>
          <w:szCs w:val="22"/>
        </w:rPr>
      </w:pPr>
    </w:p>
    <w:p w:rsidR="008C0A8B" w:rsidRPr="00884746" w:rsidRDefault="008C0A8B" w:rsidP="008C0A8B">
      <w:pPr>
        <w:pStyle w:val="Textoindependiente"/>
        <w:rPr>
          <w:rFonts w:ascii="Verdana" w:hAnsi="Verdana"/>
          <w:sz w:val="22"/>
          <w:szCs w:val="22"/>
        </w:rPr>
      </w:pPr>
      <w:r w:rsidRPr="00884746">
        <w:rPr>
          <w:rFonts w:ascii="Verdana" w:hAnsi="Verdana"/>
          <w:sz w:val="22"/>
          <w:szCs w:val="22"/>
        </w:rPr>
        <w:t xml:space="preserve">Ninguno de importancia </w:t>
      </w:r>
      <w:r w:rsidR="006A6BBB" w:rsidRPr="00884746">
        <w:rPr>
          <w:rFonts w:ascii="Verdana" w:hAnsi="Verdana"/>
          <w:sz w:val="22"/>
          <w:szCs w:val="22"/>
        </w:rPr>
        <w:t>para la</w:t>
      </w:r>
      <w:r w:rsidRPr="00884746">
        <w:rPr>
          <w:rFonts w:ascii="Verdana" w:hAnsi="Verdana"/>
          <w:sz w:val="22"/>
          <w:szCs w:val="22"/>
        </w:rPr>
        <w:t xml:space="preserve"> resolución del presente asunto. </w:t>
      </w:r>
    </w:p>
    <w:p w:rsidR="008C0A8B" w:rsidRDefault="008C0A8B" w:rsidP="008C0A8B">
      <w:pPr>
        <w:jc w:val="both"/>
        <w:rPr>
          <w:rFonts w:ascii="Verdana" w:hAnsi="Verdana"/>
          <w:b/>
          <w:sz w:val="22"/>
          <w:szCs w:val="22"/>
        </w:rPr>
      </w:pPr>
    </w:p>
    <w:p w:rsidR="008C0A8B" w:rsidRPr="00884746" w:rsidRDefault="008C0A8B" w:rsidP="008C0A8B">
      <w:pPr>
        <w:jc w:val="both"/>
        <w:rPr>
          <w:rFonts w:ascii="Verdana" w:hAnsi="Verdana"/>
          <w:b/>
          <w:sz w:val="22"/>
          <w:szCs w:val="22"/>
        </w:rPr>
      </w:pPr>
      <w:r w:rsidRPr="00884746">
        <w:rPr>
          <w:rFonts w:ascii="Verdana" w:hAnsi="Verdana"/>
          <w:b/>
          <w:sz w:val="22"/>
          <w:szCs w:val="22"/>
        </w:rPr>
        <w:t>5.- SOBRE EL FONDO</w:t>
      </w:r>
    </w:p>
    <w:p w:rsidR="008C0A8B" w:rsidRDefault="008C0A8B" w:rsidP="008C0A8B">
      <w:pPr>
        <w:jc w:val="both"/>
        <w:rPr>
          <w:rFonts w:ascii="Verdana" w:hAnsi="Verdana"/>
          <w:b/>
          <w:sz w:val="22"/>
          <w:szCs w:val="22"/>
        </w:rPr>
      </w:pPr>
    </w:p>
    <w:p w:rsidR="008C0A8B" w:rsidRDefault="008C0A8B" w:rsidP="008C0A8B">
      <w:pPr>
        <w:jc w:val="both"/>
        <w:rPr>
          <w:rFonts w:ascii="Verdana" w:hAnsi="Verdana"/>
          <w:b/>
          <w:bC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663449" w:rsidRPr="005B0F8B">
        <w:rPr>
          <w:rFonts w:ascii="Verdana" w:hAnsi="Verdana"/>
          <w:b/>
          <w:sz w:val="22"/>
          <w:szCs w:val="22"/>
        </w:rPr>
        <w:t xml:space="preserve">Artículo </w:t>
      </w:r>
      <w:r w:rsidR="00EA3991">
        <w:rPr>
          <w:rFonts w:ascii="Verdana" w:hAnsi="Verdana"/>
          <w:b/>
          <w:sz w:val="22"/>
          <w:szCs w:val="22"/>
        </w:rPr>
        <w:t>7.2.8</w:t>
      </w:r>
      <w:r w:rsidR="00EA3991" w:rsidRPr="005B0F8B">
        <w:rPr>
          <w:rFonts w:ascii="Verdana" w:hAnsi="Verdana"/>
          <w:b/>
          <w:sz w:val="22"/>
          <w:szCs w:val="22"/>
        </w:rPr>
        <w:t xml:space="preserve"> de</w:t>
      </w:r>
      <w:r w:rsidR="00663449" w:rsidRPr="005B0F8B">
        <w:rPr>
          <w:rFonts w:ascii="Verdana" w:hAnsi="Verdana"/>
          <w:b/>
          <w:sz w:val="22"/>
          <w:szCs w:val="22"/>
        </w:rPr>
        <w:t xml:space="preserve"> la Sesión Ordinaria </w:t>
      </w:r>
      <w:r w:rsidR="00663449">
        <w:rPr>
          <w:rFonts w:ascii="Verdana" w:hAnsi="Verdana"/>
          <w:b/>
          <w:sz w:val="22"/>
          <w:szCs w:val="22"/>
        </w:rPr>
        <w:t>61-2015 de 4 de noviembre de 2015</w:t>
      </w:r>
      <w:r>
        <w:rPr>
          <w:rFonts w:ascii="Verdana" w:hAnsi="Verdana"/>
          <w:sz w:val="22"/>
          <w:szCs w:val="22"/>
        </w:rPr>
        <w:t>,</w:t>
      </w:r>
      <w:r w:rsidRPr="00F77071">
        <w:rPr>
          <w:rFonts w:ascii="Verdana" w:hAnsi="Verdana"/>
          <w:sz w:val="22"/>
          <w:szCs w:val="22"/>
        </w:rPr>
        <w:t xml:space="preserve"> del Consejo de Transporte </w:t>
      </w:r>
      <w:r w:rsidR="00EA3991" w:rsidRPr="00F77071">
        <w:rPr>
          <w:rFonts w:ascii="Verdana" w:hAnsi="Verdana"/>
          <w:sz w:val="22"/>
          <w:szCs w:val="22"/>
        </w:rPr>
        <w:t>Público y</w:t>
      </w:r>
      <w:r>
        <w:rPr>
          <w:rFonts w:ascii="Verdana" w:hAnsi="Verdana"/>
          <w:sz w:val="22"/>
          <w:szCs w:val="22"/>
        </w:rPr>
        <w:t xml:space="preserve"> de ser </w:t>
      </w:r>
      <w:r w:rsidR="00EA3991">
        <w:rPr>
          <w:rFonts w:ascii="Verdana" w:hAnsi="Verdana"/>
          <w:sz w:val="22"/>
          <w:szCs w:val="22"/>
        </w:rPr>
        <w:t xml:space="preserve">así, </w:t>
      </w:r>
      <w:r w:rsidR="00EA3991" w:rsidRPr="00F77071">
        <w:rPr>
          <w:rFonts w:ascii="Verdana" w:hAnsi="Verdana"/>
          <w:sz w:val="22"/>
          <w:szCs w:val="22"/>
        </w:rPr>
        <w:t>el</w:t>
      </w:r>
      <w:r>
        <w:rPr>
          <w:rFonts w:ascii="Verdana" w:hAnsi="Verdana"/>
          <w:sz w:val="22"/>
          <w:szCs w:val="22"/>
        </w:rPr>
        <w:t xml:space="preserve"> consecuente restablecimiento de</w:t>
      </w:r>
      <w:r w:rsidRPr="00F77071">
        <w:rPr>
          <w:rFonts w:ascii="Verdana" w:hAnsi="Verdana"/>
          <w:sz w:val="22"/>
          <w:szCs w:val="22"/>
        </w:rPr>
        <w:t xml:space="preserve"> la concesión del </w:t>
      </w:r>
      <w:r w:rsidR="00B4497B">
        <w:rPr>
          <w:rFonts w:ascii="Verdana" w:hAnsi="Verdana"/>
          <w:b/>
          <w:sz w:val="22"/>
          <w:szCs w:val="22"/>
        </w:rPr>
        <w:t>XXX</w:t>
      </w:r>
      <w:r>
        <w:rPr>
          <w:rFonts w:ascii="Verdana" w:hAnsi="Verdana"/>
          <w:sz w:val="22"/>
          <w:szCs w:val="22"/>
        </w:rPr>
        <w:t xml:space="preserve"> </w:t>
      </w:r>
      <w:r w:rsidRPr="00F77071">
        <w:rPr>
          <w:rFonts w:ascii="Verdana" w:hAnsi="Verdana"/>
          <w:sz w:val="22"/>
          <w:szCs w:val="22"/>
        </w:rPr>
        <w:t xml:space="preserve">a favor del </w:t>
      </w:r>
      <w:r w:rsidR="00EA3991" w:rsidRPr="00F77071">
        <w:rPr>
          <w:rFonts w:ascii="Verdana" w:hAnsi="Verdana"/>
          <w:sz w:val="22"/>
          <w:szCs w:val="22"/>
        </w:rPr>
        <w:t>recurrente</w:t>
      </w:r>
      <w:r w:rsidR="00F23A62" w:rsidRPr="00F23A62">
        <w:rPr>
          <w:rFonts w:ascii="Verdana" w:hAnsi="Verdana"/>
          <w:sz w:val="22"/>
          <w:szCs w:val="22"/>
          <w:lang w:val="es-MX"/>
        </w:rPr>
        <w:t xml:space="preserve"> </w:t>
      </w:r>
      <w:r w:rsidR="00B4497B">
        <w:rPr>
          <w:rFonts w:ascii="Verdana" w:hAnsi="Verdana"/>
          <w:b/>
          <w:smallCaps/>
          <w:sz w:val="22"/>
          <w:szCs w:val="22"/>
        </w:rPr>
        <w:t>J.S.J.</w:t>
      </w:r>
    </w:p>
    <w:p w:rsidR="00527E85" w:rsidRDefault="00527E85" w:rsidP="00527E85">
      <w:pPr>
        <w:pStyle w:val="NormalWeb"/>
        <w:jc w:val="both"/>
        <w:rPr>
          <w:rFonts w:ascii="Verdana" w:hAnsi="Verdana"/>
          <w:b/>
          <w:bCs/>
          <w:sz w:val="22"/>
          <w:szCs w:val="22"/>
        </w:rPr>
      </w:pPr>
      <w:r>
        <w:rPr>
          <w:rFonts w:ascii="Verdana" w:hAnsi="Verdana"/>
          <w:b/>
          <w:bCs/>
          <w:sz w:val="22"/>
          <w:szCs w:val="22"/>
        </w:rPr>
        <w:lastRenderedPageBreak/>
        <w:t>DEL RECURSO PLANTEADO.</w:t>
      </w:r>
    </w:p>
    <w:p w:rsidR="00F23A62" w:rsidRDefault="00527E85" w:rsidP="00527E85">
      <w:pPr>
        <w:pStyle w:val="NormalWeb"/>
        <w:jc w:val="both"/>
        <w:rPr>
          <w:rFonts w:ascii="Verdana" w:hAnsi="Verdana"/>
          <w:sz w:val="22"/>
          <w:szCs w:val="22"/>
          <w:lang w:val="es-MX"/>
        </w:rPr>
      </w:pPr>
      <w:r w:rsidRPr="00884746">
        <w:rPr>
          <w:rFonts w:ascii="Verdana" w:hAnsi="Verdana"/>
          <w:sz w:val="22"/>
          <w:szCs w:val="22"/>
          <w:lang w:val="es-MX"/>
        </w:rPr>
        <w:t xml:space="preserve">El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que s</w:t>
      </w:r>
      <w:r>
        <w:rPr>
          <w:rFonts w:ascii="Verdana" w:hAnsi="Verdana"/>
          <w:sz w:val="22"/>
          <w:szCs w:val="22"/>
          <w:lang w:val="es-MX"/>
        </w:rPr>
        <w:t xml:space="preserve">e encuentra disconforme </w:t>
      </w:r>
      <w:r w:rsidR="007F1A22">
        <w:rPr>
          <w:rFonts w:ascii="Verdana" w:hAnsi="Verdana"/>
          <w:sz w:val="22"/>
          <w:szCs w:val="22"/>
          <w:lang w:val="es-MX"/>
        </w:rPr>
        <w:t>con lo</w:t>
      </w:r>
      <w:r>
        <w:rPr>
          <w:rFonts w:ascii="Verdana" w:hAnsi="Verdana"/>
          <w:sz w:val="22"/>
          <w:szCs w:val="22"/>
          <w:lang w:val="es-MX"/>
        </w:rPr>
        <w:t xml:space="preserve"> actuado por la Administración ya </w:t>
      </w:r>
      <w:r w:rsidR="007F1A22">
        <w:rPr>
          <w:rFonts w:ascii="Verdana" w:hAnsi="Verdana"/>
          <w:sz w:val="22"/>
          <w:szCs w:val="22"/>
          <w:lang w:val="es-MX"/>
        </w:rPr>
        <w:t>que se ha</w:t>
      </w:r>
      <w:r>
        <w:rPr>
          <w:rFonts w:ascii="Verdana" w:hAnsi="Verdana"/>
          <w:sz w:val="22"/>
          <w:szCs w:val="22"/>
          <w:lang w:val="es-MX"/>
        </w:rPr>
        <w:t xml:space="preserve"> actuado por parte de la Administración de manera contraria a la normativa pues no se tomaron en cuenta varios aspectos tales como que es nuevo concesionario a partir del 30 de setiembre de 2014</w:t>
      </w:r>
      <w:r w:rsidRPr="00884746">
        <w:rPr>
          <w:rFonts w:ascii="Verdana" w:hAnsi="Verdana"/>
          <w:sz w:val="22"/>
          <w:szCs w:val="22"/>
          <w:lang w:val="es-MX"/>
        </w:rPr>
        <w:t>.</w:t>
      </w:r>
      <w:r>
        <w:rPr>
          <w:rFonts w:ascii="Verdana" w:hAnsi="Verdana"/>
          <w:sz w:val="22"/>
          <w:szCs w:val="22"/>
          <w:lang w:val="es-MX"/>
        </w:rPr>
        <w:t xml:space="preserve">  El vehículo que ampraba la concesión de la placa </w:t>
      </w:r>
      <w:r w:rsidR="00B4497B">
        <w:rPr>
          <w:rFonts w:ascii="Verdana" w:hAnsi="Verdana"/>
          <w:sz w:val="22"/>
          <w:szCs w:val="22"/>
          <w:lang w:val="es-MX"/>
        </w:rPr>
        <w:t>XXX</w:t>
      </w:r>
      <w:r>
        <w:rPr>
          <w:rFonts w:ascii="Verdana" w:hAnsi="Verdana"/>
          <w:sz w:val="22"/>
          <w:szCs w:val="22"/>
          <w:lang w:val="es-MX"/>
        </w:rPr>
        <w:t xml:space="preserve"> alcanzaba su vida útil el 31 de diciembre de 2014 y que sin la renovación que no se había concluido y debió estar terminada </w:t>
      </w:r>
      <w:r w:rsidR="00EA3991">
        <w:rPr>
          <w:rFonts w:ascii="Verdana" w:hAnsi="Verdana"/>
          <w:sz w:val="22"/>
          <w:szCs w:val="22"/>
          <w:lang w:val="es-MX"/>
        </w:rPr>
        <w:t>un año</w:t>
      </w:r>
      <w:r>
        <w:rPr>
          <w:rFonts w:ascii="Verdana" w:hAnsi="Verdana"/>
          <w:sz w:val="22"/>
          <w:szCs w:val="22"/>
          <w:lang w:val="es-MX"/>
        </w:rPr>
        <w:t xml:space="preserve"> atrás, en ningún Banco ni entidad financiera se le tenía como sujeto de crédito para adquirir una unidad nueva.  RITEVE, le certificó que la revisión </w:t>
      </w:r>
      <w:r w:rsidR="00EA3991">
        <w:rPr>
          <w:rFonts w:ascii="Verdana" w:hAnsi="Verdana"/>
          <w:sz w:val="22"/>
          <w:szCs w:val="22"/>
          <w:lang w:val="es-MX"/>
        </w:rPr>
        <w:t>técnica del</w:t>
      </w:r>
      <w:r>
        <w:rPr>
          <w:rFonts w:ascii="Verdana" w:hAnsi="Verdana"/>
          <w:sz w:val="22"/>
          <w:szCs w:val="22"/>
          <w:lang w:val="es-MX"/>
        </w:rPr>
        <w:t xml:space="preserve"> vehículo utilizado en la concesión solamente tenía vigencia hasta el 31 de mayo de 2015 lo cual solo se podía interpretar como una venia para prestar el servicio con ese vehículo hasta esa fecha.   Se presentó al INS de Heredia a pagar la renovación de la Póliza y se le indicó que por tener RITEVE vencida no podí</w:t>
      </w:r>
      <w:r w:rsidR="00F23A62">
        <w:rPr>
          <w:rFonts w:ascii="Verdana" w:hAnsi="Verdana"/>
          <w:sz w:val="22"/>
          <w:szCs w:val="22"/>
          <w:lang w:val="es-MX"/>
        </w:rPr>
        <w:t>an recibir el pago.  Entendía que</w:t>
      </w:r>
      <w:r>
        <w:rPr>
          <w:rFonts w:ascii="Verdana" w:hAnsi="Verdana"/>
          <w:sz w:val="22"/>
          <w:szCs w:val="22"/>
          <w:lang w:val="es-MX"/>
        </w:rPr>
        <w:t xml:space="preserve"> tenía hasta mayo 2015 para hacer el cambio de unidad </w:t>
      </w:r>
      <w:r w:rsidR="00F23A62">
        <w:rPr>
          <w:rFonts w:ascii="Verdana" w:hAnsi="Verdana"/>
          <w:sz w:val="22"/>
          <w:szCs w:val="22"/>
          <w:lang w:val="es-MX"/>
        </w:rPr>
        <w:t xml:space="preserve">e </w:t>
      </w:r>
      <w:r>
        <w:rPr>
          <w:rFonts w:ascii="Verdana" w:hAnsi="Verdana"/>
          <w:sz w:val="22"/>
          <w:szCs w:val="22"/>
          <w:lang w:val="es-MX"/>
        </w:rPr>
        <w:t xml:space="preserve">inicio los </w:t>
      </w:r>
      <w:r w:rsidR="00F23A62">
        <w:rPr>
          <w:rFonts w:ascii="Verdana" w:hAnsi="Verdana"/>
          <w:sz w:val="22"/>
          <w:szCs w:val="22"/>
          <w:lang w:val="es-MX"/>
        </w:rPr>
        <w:t>trá</w:t>
      </w:r>
      <w:r w:rsidR="00EA3991">
        <w:rPr>
          <w:rFonts w:ascii="Verdana" w:hAnsi="Verdana"/>
          <w:sz w:val="22"/>
          <w:szCs w:val="22"/>
          <w:lang w:val="es-MX"/>
        </w:rPr>
        <w:t>mites de</w:t>
      </w:r>
      <w:r>
        <w:rPr>
          <w:rFonts w:ascii="Verdana" w:hAnsi="Verdana"/>
          <w:sz w:val="22"/>
          <w:szCs w:val="22"/>
          <w:lang w:val="es-MX"/>
        </w:rPr>
        <w:t xml:space="preserve"> compra de un nuevo vehículo meses antes, sin </w:t>
      </w:r>
      <w:r w:rsidR="007F1A22">
        <w:rPr>
          <w:rFonts w:ascii="Verdana" w:hAnsi="Verdana"/>
          <w:sz w:val="22"/>
          <w:szCs w:val="22"/>
          <w:lang w:val="es-MX"/>
        </w:rPr>
        <w:t>embargo,</w:t>
      </w:r>
      <w:r>
        <w:rPr>
          <w:rFonts w:ascii="Verdana" w:hAnsi="Verdana"/>
          <w:sz w:val="22"/>
          <w:szCs w:val="22"/>
          <w:lang w:val="es-MX"/>
        </w:rPr>
        <w:t xml:space="preserve"> la compra del mismo fue a través de</w:t>
      </w:r>
      <w:r w:rsidR="00F23A62">
        <w:rPr>
          <w:rFonts w:ascii="Verdana" w:hAnsi="Verdana"/>
          <w:sz w:val="22"/>
          <w:szCs w:val="22"/>
          <w:lang w:val="es-MX"/>
        </w:rPr>
        <w:t xml:space="preserve"> una financiera y se le complicó</w:t>
      </w:r>
      <w:r>
        <w:rPr>
          <w:rFonts w:ascii="Verdana" w:hAnsi="Verdana"/>
          <w:sz w:val="22"/>
          <w:szCs w:val="22"/>
          <w:lang w:val="es-MX"/>
        </w:rPr>
        <w:t xml:space="preserve"> y eso incidió en la presentación de la solicitud del cambio de unidad.  En fecha 24 de junio de 2015 se le realizó el traslado de cargos para un procedimiento administrativo en el que se indica la posible cancelación de la conexión señalando audiencia al 23 de octubre, lo que lo sumió en estado de incertidumbre e indefensión motivo por el cual tampoco sabía si debía continuar con el trámite de cambio de unidad y demuestra que desde julio adquirió la nueva unidad. </w:t>
      </w:r>
      <w:r w:rsidRPr="00884746">
        <w:rPr>
          <w:rFonts w:ascii="Verdana" w:hAnsi="Verdana"/>
          <w:sz w:val="22"/>
          <w:szCs w:val="22"/>
          <w:lang w:val="es-MX"/>
        </w:rPr>
        <w:t xml:space="preserve"> </w:t>
      </w:r>
      <w:r>
        <w:rPr>
          <w:rFonts w:ascii="Verdana" w:hAnsi="Verdana"/>
          <w:sz w:val="22"/>
          <w:szCs w:val="22"/>
          <w:lang w:val="es-MX"/>
        </w:rPr>
        <w:t>En una escueta acta de menos de media página el órgano director averigua la verdad real de los hechos sin hacer un análisis debidamente circunstanciado en modo tiempo y lugar de la prueba y con tres preguntas que le hicieron toman la decisión</w:t>
      </w:r>
      <w:r w:rsidRPr="00884746">
        <w:rPr>
          <w:rFonts w:ascii="Verdana" w:hAnsi="Verdana"/>
          <w:sz w:val="22"/>
          <w:szCs w:val="22"/>
          <w:lang w:val="es-MX"/>
        </w:rPr>
        <w:t>.</w:t>
      </w:r>
      <w:r>
        <w:rPr>
          <w:rFonts w:ascii="Verdana" w:hAnsi="Verdana"/>
          <w:sz w:val="22"/>
          <w:szCs w:val="22"/>
          <w:lang w:val="es-MX"/>
        </w:rPr>
        <w:t xml:space="preserve"> </w:t>
      </w:r>
      <w:r w:rsidRPr="00884746">
        <w:rPr>
          <w:rFonts w:ascii="Verdana" w:hAnsi="Verdana"/>
          <w:sz w:val="22"/>
          <w:szCs w:val="22"/>
          <w:lang w:val="es-MX"/>
        </w:rPr>
        <w:t xml:space="preserve"> </w:t>
      </w:r>
      <w:r>
        <w:rPr>
          <w:rFonts w:ascii="Verdana" w:hAnsi="Verdana"/>
          <w:sz w:val="22"/>
          <w:szCs w:val="22"/>
          <w:lang w:val="es-MX"/>
        </w:rPr>
        <w:t>Decidió continuar con el trámite de cambio de unidad y presento el mismo el que se le aprobó el 10 de noviembre y 3 días después recibió una notificación del acuerdo recurrido, sea dos dependencias dictando actos contrarios</w:t>
      </w:r>
      <w:r w:rsidRPr="00884746">
        <w:rPr>
          <w:rFonts w:ascii="Verdana" w:hAnsi="Verdana"/>
          <w:sz w:val="22"/>
          <w:szCs w:val="22"/>
          <w:lang w:val="es-MX"/>
        </w:rPr>
        <w:t xml:space="preserve">.  </w:t>
      </w:r>
      <w:r>
        <w:rPr>
          <w:rFonts w:ascii="Verdana" w:hAnsi="Verdana"/>
          <w:sz w:val="22"/>
          <w:szCs w:val="22"/>
          <w:lang w:val="es-MX"/>
        </w:rPr>
        <w:t xml:space="preserve">El acuerdo impugnado es violatorio del debido proceso y el principio de Legalidad ya que </w:t>
      </w:r>
      <w:r w:rsidR="007F1A22">
        <w:rPr>
          <w:rFonts w:ascii="Verdana" w:hAnsi="Verdana"/>
          <w:sz w:val="22"/>
          <w:szCs w:val="22"/>
          <w:lang w:val="es-MX"/>
        </w:rPr>
        <w:t>aun</w:t>
      </w:r>
      <w:r>
        <w:rPr>
          <w:rFonts w:ascii="Verdana" w:hAnsi="Verdana"/>
          <w:sz w:val="22"/>
          <w:szCs w:val="22"/>
          <w:lang w:val="es-MX"/>
        </w:rPr>
        <w:t xml:space="preserve"> cuando el recurrente actuó inducido a error por la misma Administración le imponen la sanción más gravosa en clara inobservancia del principio de gradualidad de la sanción</w:t>
      </w:r>
      <w:r w:rsidRPr="00884746">
        <w:rPr>
          <w:rFonts w:ascii="Verdana" w:hAnsi="Verdana"/>
          <w:sz w:val="22"/>
          <w:szCs w:val="22"/>
          <w:lang w:val="es-MX"/>
        </w:rPr>
        <w:t>.</w:t>
      </w:r>
    </w:p>
    <w:p w:rsidR="0015492D" w:rsidRDefault="00527E85" w:rsidP="00F23A62">
      <w:pPr>
        <w:pStyle w:val="NormalWeb"/>
        <w:jc w:val="both"/>
        <w:rPr>
          <w:rFonts w:ascii="Verdana" w:hAnsi="Verdana"/>
          <w:sz w:val="22"/>
          <w:szCs w:val="22"/>
          <w:lang w:val="es-MX"/>
        </w:rPr>
      </w:pPr>
      <w:r>
        <w:rPr>
          <w:rFonts w:ascii="Verdana" w:hAnsi="Verdana"/>
          <w:b/>
          <w:bCs/>
          <w:sz w:val="22"/>
          <w:szCs w:val="22"/>
        </w:rPr>
        <w:t>DE LO ACTUADO POR EL CONSEJO DE TRANSPORTE PUBLICO.</w:t>
      </w:r>
      <w:r w:rsidR="00BD0245">
        <w:rPr>
          <w:rFonts w:ascii="Verdana" w:hAnsi="Verdana"/>
          <w:sz w:val="22"/>
          <w:szCs w:val="22"/>
          <w:lang w:val="es-MX"/>
        </w:rPr>
        <w:t xml:space="preserve">La Junta Directiva del Consejo de Transporte Público mediante </w:t>
      </w:r>
      <w:r w:rsidR="00BD0245">
        <w:rPr>
          <w:rFonts w:ascii="Verdana" w:hAnsi="Verdana"/>
          <w:b/>
          <w:sz w:val="22"/>
          <w:szCs w:val="22"/>
          <w:lang w:val="es-MX"/>
        </w:rPr>
        <w:t xml:space="preserve">acuerdo 7.3.219 de la Sesión Extraordinaria 08-2014 del 30 de setiembre de </w:t>
      </w:r>
      <w:r w:rsidR="007F1A22">
        <w:rPr>
          <w:rFonts w:ascii="Verdana" w:hAnsi="Verdana"/>
          <w:b/>
          <w:sz w:val="22"/>
          <w:szCs w:val="22"/>
          <w:lang w:val="es-MX"/>
        </w:rPr>
        <w:t xml:space="preserve">2014, </w:t>
      </w:r>
      <w:r w:rsidR="007F1A22">
        <w:rPr>
          <w:rFonts w:ascii="Verdana" w:hAnsi="Verdana"/>
          <w:sz w:val="22"/>
          <w:szCs w:val="22"/>
          <w:lang w:val="es-MX"/>
        </w:rPr>
        <w:t>autoriza</w:t>
      </w:r>
      <w:r w:rsidR="00BD0245">
        <w:rPr>
          <w:rFonts w:ascii="Verdana" w:hAnsi="Verdana"/>
          <w:sz w:val="22"/>
          <w:szCs w:val="22"/>
          <w:lang w:val="es-MX"/>
        </w:rPr>
        <w:t xml:space="preserve"> la </w:t>
      </w:r>
      <w:r w:rsidR="007F1A22">
        <w:rPr>
          <w:rFonts w:ascii="Verdana" w:hAnsi="Verdana"/>
          <w:sz w:val="22"/>
          <w:szCs w:val="22"/>
          <w:lang w:val="es-MX"/>
        </w:rPr>
        <w:t>cesión de</w:t>
      </w:r>
      <w:r w:rsidR="00BD0245">
        <w:rPr>
          <w:rFonts w:ascii="Verdana" w:hAnsi="Verdana"/>
          <w:sz w:val="22"/>
          <w:szCs w:val="22"/>
          <w:lang w:val="es-MX"/>
        </w:rPr>
        <w:t xml:space="preserve"> la </w:t>
      </w:r>
      <w:r w:rsidR="007F1A22">
        <w:rPr>
          <w:rFonts w:ascii="Verdana" w:hAnsi="Verdana"/>
          <w:sz w:val="22"/>
          <w:szCs w:val="22"/>
          <w:lang w:val="es-MX"/>
        </w:rPr>
        <w:t>concesión de</w:t>
      </w:r>
      <w:r w:rsidR="00BD0245">
        <w:rPr>
          <w:rFonts w:ascii="Verdana" w:hAnsi="Verdana"/>
          <w:sz w:val="22"/>
          <w:szCs w:val="22"/>
          <w:lang w:val="es-MX"/>
        </w:rPr>
        <w:t xml:space="preserve"> la placa </w:t>
      </w:r>
      <w:r w:rsidR="00B4497B">
        <w:rPr>
          <w:rFonts w:ascii="Verdana" w:hAnsi="Verdana"/>
          <w:sz w:val="22"/>
          <w:szCs w:val="22"/>
          <w:lang w:val="es-MX"/>
        </w:rPr>
        <w:t>XX</w:t>
      </w:r>
      <w:r w:rsidR="00BD0245">
        <w:rPr>
          <w:rFonts w:ascii="Verdana" w:hAnsi="Verdana"/>
          <w:sz w:val="22"/>
          <w:szCs w:val="22"/>
          <w:lang w:val="es-MX"/>
        </w:rPr>
        <w:t xml:space="preserve">, </w:t>
      </w:r>
      <w:r w:rsidR="0015492D">
        <w:rPr>
          <w:rFonts w:ascii="Verdana" w:hAnsi="Verdana"/>
          <w:sz w:val="22"/>
          <w:szCs w:val="22"/>
          <w:lang w:val="es-MX"/>
        </w:rPr>
        <w:t>de</w:t>
      </w:r>
      <w:r w:rsidR="00BD0245">
        <w:rPr>
          <w:rFonts w:ascii="Verdana" w:hAnsi="Verdana"/>
          <w:sz w:val="22"/>
          <w:szCs w:val="22"/>
          <w:lang w:val="es-MX"/>
        </w:rPr>
        <w:t xml:space="preserve"> </w:t>
      </w:r>
      <w:r w:rsidR="00B4497B">
        <w:rPr>
          <w:rFonts w:ascii="Verdana" w:hAnsi="Verdana"/>
          <w:b/>
          <w:sz w:val="22"/>
          <w:szCs w:val="22"/>
          <w:lang w:val="es-MX"/>
        </w:rPr>
        <w:t>J.F.C.</w:t>
      </w:r>
      <w:r w:rsidR="00BD0245" w:rsidRPr="0015492D">
        <w:rPr>
          <w:rFonts w:ascii="Verdana" w:hAnsi="Verdana"/>
          <w:b/>
          <w:sz w:val="22"/>
          <w:szCs w:val="22"/>
          <w:lang w:val="es-MX"/>
        </w:rPr>
        <w:t xml:space="preserve"> </w:t>
      </w:r>
      <w:r w:rsidR="0015492D">
        <w:rPr>
          <w:rFonts w:ascii="Verdana" w:hAnsi="Verdana"/>
          <w:b/>
          <w:sz w:val="22"/>
          <w:szCs w:val="22"/>
          <w:lang w:val="es-MX"/>
        </w:rPr>
        <w:t xml:space="preserve">a favor de </w:t>
      </w:r>
      <w:r w:rsidR="00B4497B">
        <w:rPr>
          <w:rFonts w:ascii="Verdana" w:hAnsi="Verdana"/>
          <w:b/>
          <w:smallCaps/>
          <w:sz w:val="22"/>
          <w:szCs w:val="22"/>
        </w:rPr>
        <w:t>J.S.J.</w:t>
      </w:r>
      <w:r w:rsidR="00BD0245">
        <w:rPr>
          <w:rFonts w:ascii="Verdana" w:hAnsi="Verdana"/>
          <w:b/>
          <w:sz w:val="22"/>
          <w:szCs w:val="22"/>
          <w:lang w:val="es-MX"/>
        </w:rPr>
        <w:t xml:space="preserve">. </w:t>
      </w:r>
    </w:p>
    <w:p w:rsidR="0015492D" w:rsidRDefault="0015492D" w:rsidP="0015492D">
      <w:pPr>
        <w:jc w:val="both"/>
        <w:rPr>
          <w:rFonts w:ascii="Verdana" w:hAnsi="Verdana"/>
          <w:sz w:val="22"/>
          <w:szCs w:val="22"/>
        </w:rPr>
      </w:pPr>
      <w:r w:rsidRPr="00884746">
        <w:rPr>
          <w:rFonts w:ascii="Verdana" w:hAnsi="Verdana"/>
          <w:sz w:val="22"/>
          <w:szCs w:val="22"/>
        </w:rPr>
        <w:t xml:space="preserve">La </w:t>
      </w:r>
      <w:r w:rsidRPr="00884746">
        <w:rPr>
          <w:rFonts w:ascii="Verdana" w:hAnsi="Verdana"/>
          <w:smallCaps/>
          <w:sz w:val="22"/>
          <w:szCs w:val="22"/>
        </w:rPr>
        <w:t>Junta Directiva del Consejo de Transporte Público</w:t>
      </w:r>
      <w:r w:rsidRPr="00884746">
        <w:rPr>
          <w:rFonts w:ascii="Verdana" w:hAnsi="Verdana"/>
          <w:sz w:val="22"/>
          <w:szCs w:val="22"/>
        </w:rPr>
        <w:t xml:space="preserve"> dispuso </w:t>
      </w:r>
      <w:r>
        <w:rPr>
          <w:rFonts w:ascii="Verdana" w:hAnsi="Verdana"/>
          <w:sz w:val="22"/>
          <w:szCs w:val="22"/>
        </w:rPr>
        <w:t xml:space="preserve">en el </w:t>
      </w:r>
      <w:r w:rsidR="0081387F" w:rsidRPr="005B0F8B">
        <w:rPr>
          <w:rFonts w:ascii="Verdana" w:hAnsi="Verdana"/>
          <w:b/>
          <w:sz w:val="22"/>
          <w:szCs w:val="22"/>
        </w:rPr>
        <w:t xml:space="preserve">Artículo </w:t>
      </w:r>
      <w:r w:rsidR="0081387F">
        <w:rPr>
          <w:rFonts w:ascii="Verdana" w:hAnsi="Verdana"/>
          <w:b/>
          <w:sz w:val="22"/>
          <w:szCs w:val="22"/>
        </w:rPr>
        <w:t>7.2.8</w:t>
      </w:r>
      <w:r w:rsidR="0081387F" w:rsidRPr="005B0F8B">
        <w:rPr>
          <w:rFonts w:ascii="Verdana" w:hAnsi="Verdana"/>
          <w:b/>
          <w:sz w:val="22"/>
          <w:szCs w:val="22"/>
        </w:rPr>
        <w:t xml:space="preserve">  de la Sesión Ordinaria </w:t>
      </w:r>
      <w:r w:rsidR="0081387F">
        <w:rPr>
          <w:rFonts w:ascii="Verdana" w:hAnsi="Verdana"/>
          <w:b/>
          <w:sz w:val="22"/>
          <w:szCs w:val="22"/>
        </w:rPr>
        <w:t>61-2015 de 4 de noviembre de 2015</w:t>
      </w:r>
      <w:r>
        <w:rPr>
          <w:rFonts w:ascii="Verdana" w:hAnsi="Verdana"/>
          <w:sz w:val="22"/>
          <w:szCs w:val="22"/>
        </w:rPr>
        <w:t xml:space="preserve">, aprobar el informe jurídico de recomendación final del procedimiento administrativo de caducidad de la concesión de la  placa de Taxi número  </w:t>
      </w:r>
      <w:r w:rsidR="00B4497B">
        <w:rPr>
          <w:rFonts w:ascii="Verdana" w:hAnsi="Verdana"/>
          <w:b/>
          <w:sz w:val="22"/>
          <w:szCs w:val="22"/>
        </w:rPr>
        <w:t>XXXX</w:t>
      </w:r>
      <w:r>
        <w:rPr>
          <w:rFonts w:ascii="Verdana" w:hAnsi="Verdana"/>
          <w:sz w:val="22"/>
          <w:szCs w:val="22"/>
        </w:rPr>
        <w:t xml:space="preserve">,  que realizara  la Dirección de Asuntos Jurídicos en oficio </w:t>
      </w:r>
      <w:r w:rsidRPr="00F72550">
        <w:rPr>
          <w:rFonts w:ascii="Verdana" w:hAnsi="Verdana"/>
          <w:b/>
          <w:sz w:val="22"/>
          <w:szCs w:val="22"/>
        </w:rPr>
        <w:t>DAJ-2015003733 de 30 de octubre de 2015</w:t>
      </w:r>
      <w:r>
        <w:rPr>
          <w:rFonts w:ascii="Verdana" w:hAnsi="Verdana"/>
          <w:b/>
          <w:sz w:val="22"/>
          <w:szCs w:val="22"/>
        </w:rPr>
        <w:t>,</w:t>
      </w:r>
      <w:r>
        <w:rPr>
          <w:rFonts w:ascii="Verdana" w:hAnsi="Verdana"/>
          <w:sz w:val="22"/>
          <w:szCs w:val="22"/>
        </w:rPr>
        <w:t xml:space="preserve"> y se dispone la caducidad de la concesión indicada por  el no pago de la respectiva Póliza de Seguro del INS al vehículo que ampara la concesión.  </w:t>
      </w:r>
    </w:p>
    <w:p w:rsidR="0081387F" w:rsidRDefault="0081387F" w:rsidP="0015492D">
      <w:pPr>
        <w:jc w:val="both"/>
        <w:rPr>
          <w:rFonts w:ascii="Verdana" w:hAnsi="Verdana"/>
          <w:sz w:val="22"/>
          <w:szCs w:val="22"/>
          <w:lang w:val="es-MX"/>
        </w:rPr>
      </w:pPr>
    </w:p>
    <w:p w:rsidR="0081387F" w:rsidRPr="00884746" w:rsidRDefault="0081387F" w:rsidP="0015492D">
      <w:pPr>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007F1A22" w:rsidRPr="00884746">
        <w:rPr>
          <w:rFonts w:ascii="Verdana" w:hAnsi="Verdana"/>
          <w:sz w:val="22"/>
          <w:szCs w:val="22"/>
          <w:lang w:val="es-MX"/>
        </w:rPr>
        <w:t xml:space="preserve"> mediante</w:t>
      </w:r>
      <w:r w:rsidRPr="00884746">
        <w:rPr>
          <w:rFonts w:ascii="Verdana" w:hAnsi="Verdana"/>
          <w:sz w:val="22"/>
          <w:szCs w:val="22"/>
          <w:lang w:val="es-MX"/>
        </w:rPr>
        <w:t xml:space="preserve"> </w:t>
      </w:r>
      <w:r w:rsidRPr="003B04A7">
        <w:rPr>
          <w:rFonts w:ascii="Verdana" w:hAnsi="Verdana"/>
          <w:b/>
          <w:sz w:val="22"/>
          <w:szCs w:val="22"/>
          <w:lang w:val="es-MX"/>
        </w:rPr>
        <w:t xml:space="preserve">Artículo </w:t>
      </w:r>
      <w:r>
        <w:rPr>
          <w:rFonts w:ascii="Verdana" w:hAnsi="Verdana"/>
          <w:b/>
          <w:sz w:val="22"/>
          <w:szCs w:val="22"/>
          <w:lang w:val="es-MX"/>
        </w:rPr>
        <w:t xml:space="preserve">7.12.5 de la Sesión Ordinaria 07-2016 de 17 de febrero de 2016, </w:t>
      </w:r>
      <w:r>
        <w:rPr>
          <w:rFonts w:ascii="Verdana" w:hAnsi="Verdana"/>
          <w:sz w:val="22"/>
          <w:szCs w:val="22"/>
          <w:lang w:val="es-MX"/>
        </w:rPr>
        <w:lastRenderedPageBreak/>
        <w:t xml:space="preserve">conoce y acoge el informe de la Dirección de Asuntos </w:t>
      </w:r>
      <w:r w:rsidR="007F1A22">
        <w:rPr>
          <w:rFonts w:ascii="Verdana" w:hAnsi="Verdana"/>
          <w:sz w:val="22"/>
          <w:szCs w:val="22"/>
          <w:lang w:val="es-MX"/>
        </w:rPr>
        <w:t>Jurídicos DAJ</w:t>
      </w:r>
      <w:r w:rsidRPr="00711DC0">
        <w:rPr>
          <w:rFonts w:ascii="Verdana" w:hAnsi="Verdana"/>
          <w:b/>
          <w:sz w:val="22"/>
          <w:szCs w:val="22"/>
          <w:lang w:val="es-MX"/>
        </w:rPr>
        <w:t>-2016000402 de 8 de febrero de 2016</w:t>
      </w:r>
      <w:r>
        <w:rPr>
          <w:rFonts w:ascii="Verdana" w:hAnsi="Verdana"/>
          <w:b/>
          <w:sz w:val="22"/>
          <w:szCs w:val="22"/>
          <w:lang w:val="es-MX"/>
        </w:rPr>
        <w:t xml:space="preserve"> </w:t>
      </w:r>
      <w:r>
        <w:rPr>
          <w:rFonts w:ascii="Verdana" w:hAnsi="Verdana"/>
          <w:sz w:val="22"/>
          <w:szCs w:val="22"/>
          <w:lang w:val="es-MX"/>
        </w:rPr>
        <w:t xml:space="preserve">y rechaza por improcedente el Recurso de </w:t>
      </w:r>
      <w:r w:rsidR="007F1A22">
        <w:rPr>
          <w:rFonts w:ascii="Verdana" w:hAnsi="Verdana"/>
          <w:sz w:val="22"/>
          <w:szCs w:val="22"/>
          <w:lang w:val="es-MX"/>
        </w:rPr>
        <w:t>Revocatoria,</w:t>
      </w:r>
      <w:r>
        <w:rPr>
          <w:rFonts w:ascii="Verdana" w:hAnsi="Verdana"/>
          <w:sz w:val="22"/>
          <w:szCs w:val="22"/>
          <w:lang w:val="es-MX"/>
        </w:rPr>
        <w:t xml:space="preserve"> así como la Nulidad concomitante, por tenerse que se demostró el no pago de la Póliza del INS </w:t>
      </w:r>
      <w:r w:rsidR="00F23A62">
        <w:rPr>
          <w:rFonts w:ascii="Verdana" w:hAnsi="Verdana"/>
          <w:sz w:val="22"/>
          <w:szCs w:val="22"/>
          <w:lang w:val="es-MX"/>
        </w:rPr>
        <w:t>d</w:t>
      </w:r>
      <w:r>
        <w:rPr>
          <w:rFonts w:ascii="Verdana" w:hAnsi="Verdana"/>
          <w:sz w:val="22"/>
          <w:szCs w:val="22"/>
          <w:lang w:val="es-MX"/>
        </w:rPr>
        <w:t xml:space="preserve">el vehículo que amparaba la concesión </w:t>
      </w:r>
      <w:r w:rsidR="00B4497B">
        <w:rPr>
          <w:rFonts w:ascii="Verdana" w:hAnsi="Verdana"/>
          <w:sz w:val="22"/>
          <w:szCs w:val="22"/>
          <w:lang w:val="es-MX"/>
        </w:rPr>
        <w:t>XXX</w:t>
      </w:r>
      <w:r>
        <w:rPr>
          <w:rFonts w:ascii="Verdana" w:hAnsi="Verdana"/>
          <w:sz w:val="22"/>
          <w:szCs w:val="22"/>
          <w:lang w:val="es-MX"/>
        </w:rPr>
        <w:t xml:space="preserve"> a partir del mes de mayo de 2015.  Así mismo se consideró que el acto administrativo no presentaba vicios en sus elementos constitutivos que pudieran dar como resultado la anulación del acto.</w:t>
      </w:r>
    </w:p>
    <w:p w:rsidR="0015492D" w:rsidRDefault="0015492D" w:rsidP="00BD0245">
      <w:pPr>
        <w:jc w:val="both"/>
        <w:rPr>
          <w:rFonts w:ascii="Verdana" w:hAnsi="Verdana"/>
          <w:sz w:val="22"/>
          <w:szCs w:val="22"/>
          <w:lang w:val="es-MX"/>
        </w:rPr>
      </w:pPr>
    </w:p>
    <w:p w:rsidR="00D5038C" w:rsidRPr="00E61AEA" w:rsidRDefault="00D5038C" w:rsidP="00D5038C">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D5038C" w:rsidRPr="00234E53" w:rsidRDefault="00D5038C" w:rsidP="00D5038C">
      <w:pPr>
        <w:autoSpaceDE w:val="0"/>
        <w:autoSpaceDN w:val="0"/>
        <w:adjustRightInd w:val="0"/>
        <w:jc w:val="both"/>
        <w:rPr>
          <w:rFonts w:ascii="Verdana" w:hAnsi="Verdana"/>
          <w:bCs/>
          <w:lang w:val="es-MX"/>
        </w:rPr>
      </w:pPr>
    </w:p>
    <w:p w:rsidR="00D5038C" w:rsidRPr="00E61AEA" w:rsidRDefault="00D5038C" w:rsidP="00D5038C">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r w:rsidR="007F1A22" w:rsidRPr="00E61AEA">
        <w:rPr>
          <w:rFonts w:ascii="Verdana" w:hAnsi="Verdana"/>
          <w:bCs/>
          <w:sz w:val="22"/>
          <w:szCs w:val="22"/>
          <w:lang w:val="es-MX"/>
        </w:rPr>
        <w:t>conforme lo</w:t>
      </w:r>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r w:rsidR="007F1A22" w:rsidRPr="00E61AEA">
        <w:rPr>
          <w:rFonts w:ascii="Verdana" w:hAnsi="Verdana"/>
          <w:bCs/>
          <w:sz w:val="22"/>
          <w:szCs w:val="22"/>
          <w:lang w:val="es-MX"/>
        </w:rPr>
        <w:t>fundamental que</w:t>
      </w:r>
      <w:r w:rsidRPr="00E61AEA">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D5038C" w:rsidRPr="00E61AEA" w:rsidRDefault="00D5038C" w:rsidP="00D5038C">
      <w:pPr>
        <w:autoSpaceDE w:val="0"/>
        <w:autoSpaceDN w:val="0"/>
        <w:adjustRightInd w:val="0"/>
        <w:jc w:val="both"/>
        <w:rPr>
          <w:rFonts w:ascii="Verdana" w:hAnsi="Verdana"/>
          <w:sz w:val="22"/>
          <w:szCs w:val="22"/>
          <w:lang w:val="es-MX"/>
        </w:rPr>
      </w:pPr>
    </w:p>
    <w:p w:rsidR="00D5038C" w:rsidRPr="00E61AEA" w:rsidRDefault="00D5038C" w:rsidP="00D5038C">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w:t>
      </w:r>
      <w:r w:rsidR="007F1A22" w:rsidRPr="00E61AEA">
        <w:rPr>
          <w:rFonts w:ascii="Verdana" w:hAnsi="Verdana"/>
          <w:sz w:val="22"/>
          <w:szCs w:val="22"/>
          <w:lang w:val="es-MX"/>
        </w:rPr>
        <w:t>02493, de</w:t>
      </w:r>
      <w:r w:rsidRPr="00E61AEA">
        <w:rPr>
          <w:rFonts w:ascii="Verdana" w:hAnsi="Verdana"/>
          <w:sz w:val="22"/>
          <w:szCs w:val="22"/>
          <w:lang w:val="es-MX"/>
        </w:rPr>
        <w:t xml:space="preserve"> las dieciséis horas, con veinticinco minutos, del veintisiete de marzo del dos mil </w:t>
      </w:r>
      <w:r w:rsidR="007F1A22" w:rsidRPr="00E61AEA">
        <w:rPr>
          <w:rFonts w:ascii="Verdana" w:hAnsi="Verdana"/>
          <w:sz w:val="22"/>
          <w:szCs w:val="22"/>
          <w:lang w:val="es-MX"/>
        </w:rPr>
        <w:t>uno, respecto</w:t>
      </w:r>
      <w:r w:rsidRPr="00E61AEA">
        <w:rPr>
          <w:rFonts w:ascii="Verdana" w:hAnsi="Verdana"/>
          <w:sz w:val="22"/>
          <w:szCs w:val="22"/>
          <w:lang w:val="es-MX"/>
        </w:rPr>
        <w:t xml:space="preserve"> del Principio de Legalidad, manifestó:</w:t>
      </w:r>
    </w:p>
    <w:p w:rsidR="00D5038C" w:rsidRPr="00E61AEA" w:rsidRDefault="00D5038C" w:rsidP="00D5038C">
      <w:pPr>
        <w:autoSpaceDE w:val="0"/>
        <w:autoSpaceDN w:val="0"/>
        <w:adjustRightInd w:val="0"/>
        <w:jc w:val="both"/>
        <w:rPr>
          <w:rFonts w:ascii="Verdana" w:hAnsi="Verdana"/>
          <w:sz w:val="22"/>
          <w:szCs w:val="22"/>
          <w:lang w:val="es-MX"/>
        </w:rPr>
      </w:pPr>
    </w:p>
    <w:p w:rsidR="00D5038C" w:rsidRPr="0014454F" w:rsidRDefault="00D5038C" w:rsidP="00D5038C">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r w:rsidR="00F23A62" w:rsidRPr="0014454F">
        <w:rPr>
          <w:rFonts w:ascii="Verdana" w:hAnsi="Verdana"/>
          <w:b/>
          <w:i/>
          <w:sz w:val="18"/>
          <w:szCs w:val="18"/>
          <w:u w:val="single"/>
          <w:lang w:val="es-MX"/>
        </w:rPr>
        <w:t>“</w:t>
      </w:r>
      <w:r w:rsidR="00F23A62" w:rsidRPr="0014454F">
        <w:rPr>
          <w:rFonts w:ascii="Verdana" w:hAnsi="Verdana"/>
          <w:b/>
          <w:i/>
          <w:sz w:val="18"/>
          <w:szCs w:val="18"/>
          <w:lang w:val="es-MX"/>
        </w:rPr>
        <w:t>(</w:t>
      </w:r>
      <w:r w:rsidRPr="0014454F">
        <w:rPr>
          <w:rFonts w:ascii="Verdana" w:hAnsi="Verdana"/>
          <w:b/>
          <w:i/>
          <w:sz w:val="18"/>
          <w:szCs w:val="18"/>
          <w:lang w:val="es-MX"/>
        </w:rPr>
        <w:t>Lo resaltado no es del original)</w:t>
      </w:r>
    </w:p>
    <w:p w:rsidR="00D5038C" w:rsidRDefault="00D5038C" w:rsidP="00D5038C">
      <w:pPr>
        <w:autoSpaceDE w:val="0"/>
        <w:autoSpaceDN w:val="0"/>
        <w:adjustRightInd w:val="0"/>
        <w:jc w:val="both"/>
        <w:rPr>
          <w:rFonts w:ascii="Verdana" w:hAnsi="Verdana"/>
          <w:b/>
          <w:sz w:val="22"/>
          <w:szCs w:val="22"/>
          <w:lang w:val="es-MX"/>
        </w:rPr>
      </w:pPr>
    </w:p>
    <w:p w:rsidR="00D5038C" w:rsidRPr="00F620EC" w:rsidRDefault="00D5038C" w:rsidP="00D5038C">
      <w:pPr>
        <w:autoSpaceDE w:val="0"/>
        <w:autoSpaceDN w:val="0"/>
        <w:adjustRightInd w:val="0"/>
        <w:jc w:val="both"/>
        <w:rPr>
          <w:rFonts w:ascii="Verdana" w:hAnsi="Verdana"/>
          <w:lang w:val="es-MX"/>
        </w:rPr>
      </w:pPr>
      <w:r w:rsidRPr="00F620EC">
        <w:rPr>
          <w:rFonts w:ascii="Verdana" w:hAnsi="Verdana"/>
          <w:lang w:val="es-MX"/>
        </w:rPr>
        <w:t xml:space="preserve">Por </w:t>
      </w:r>
      <w:r>
        <w:rPr>
          <w:rFonts w:ascii="Verdana" w:hAnsi="Verdana"/>
          <w:lang w:val="es-MX"/>
        </w:rPr>
        <w:t>su parte el Tribunal Contencioso Administrativo Sección II, en su sentencia 00002 de las nueve horas del 30 de enero de 2013 indica respecto del Principio de Legalidad lo siguiente:</w:t>
      </w:r>
    </w:p>
    <w:p w:rsidR="00D5038C" w:rsidRDefault="00D5038C" w:rsidP="00D5038C">
      <w:pPr>
        <w:autoSpaceDE w:val="0"/>
        <w:autoSpaceDN w:val="0"/>
        <w:adjustRightInd w:val="0"/>
        <w:jc w:val="both"/>
        <w:rPr>
          <w:rFonts w:ascii="Verdana" w:hAnsi="Verdana"/>
          <w:b/>
          <w:sz w:val="22"/>
          <w:szCs w:val="22"/>
          <w:lang w:val="es-MX"/>
        </w:rPr>
      </w:pPr>
    </w:p>
    <w:p w:rsidR="00D5038C" w:rsidRDefault="00D5038C" w:rsidP="00D5038C">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“todo acto o comportamiento de la Administraciónque incida sobre los derechos del particular debe estar autorizado por el ordenamiento jurídico" (Ortíz Ortíz)</w:t>
      </w:r>
      <w:r w:rsidRPr="00F620EC">
        <w:rPr>
          <w:rFonts w:ascii="Verdana" w:hAnsi="Verdana"/>
          <w:i/>
          <w:sz w:val="18"/>
          <w:szCs w:val="18"/>
        </w:rPr>
        <w:t>. Agrega el jurista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Pr="00F620EC">
        <w:rPr>
          <w:rFonts w:ascii="Verdana" w:hAnsi="Verdana"/>
          <w:bCs/>
          <w:i/>
          <w:sz w:val="18"/>
          <w:szCs w:val="18"/>
        </w:rPr>
        <w:t>administrativa</w:t>
      </w:r>
      <w:r w:rsidRPr="00F620EC">
        <w:rPr>
          <w:rFonts w:ascii="Verdana" w:hAnsi="Verdana"/>
          <w:i/>
          <w:sz w:val="18"/>
          <w:szCs w:val="18"/>
        </w:rPr>
        <w:t xml:space="preserve"> al Ordenamiento Jurídico significa que la norma se erige en el fundamento previo y necesario de su actividad, y en su fenómeno reflejo, la seguridad jurídica del administrado. De consiguiente, cualquier actuación de la Administración discordante con el bloque </w:t>
      </w:r>
      <w:r w:rsidRPr="00F620EC">
        <w:rPr>
          <w:rFonts w:ascii="Verdana" w:hAnsi="Verdana"/>
          <w:i/>
          <w:sz w:val="18"/>
          <w:szCs w:val="18"/>
        </w:rPr>
        <w:lastRenderedPageBreak/>
        <w:t>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D5038C" w:rsidRPr="00F620EC" w:rsidRDefault="00D5038C" w:rsidP="00D5038C">
      <w:pPr>
        <w:autoSpaceDE w:val="0"/>
        <w:autoSpaceDN w:val="0"/>
        <w:adjustRightInd w:val="0"/>
        <w:ind w:left="397"/>
        <w:jc w:val="both"/>
        <w:rPr>
          <w:rFonts w:ascii="Verdana" w:hAnsi="Verdana"/>
          <w:i/>
          <w:sz w:val="18"/>
          <w:szCs w:val="18"/>
          <w:lang w:val="es-MX"/>
        </w:rPr>
      </w:pPr>
    </w:p>
    <w:p w:rsidR="00D5038C" w:rsidRPr="00E61AEA" w:rsidRDefault="00D5038C" w:rsidP="00D5038C">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r w:rsidR="007F1A22" w:rsidRPr="00E61AEA">
        <w:rPr>
          <w:rFonts w:ascii="Verdana" w:hAnsi="Verdana"/>
          <w:iCs/>
          <w:sz w:val="22"/>
          <w:szCs w:val="22"/>
          <w:lang w:val="es-MX"/>
        </w:rPr>
        <w:t>Legalidad constituye</w:t>
      </w:r>
      <w:r w:rsidRPr="00E61AEA">
        <w:rPr>
          <w:rFonts w:ascii="Verdana" w:hAnsi="Verdana"/>
          <w:iCs/>
          <w:sz w:val="22"/>
          <w:szCs w:val="22"/>
          <w:lang w:val="es-MX"/>
        </w:rPr>
        <w:t xml:space="preserve"> pues el marco de acción o </w:t>
      </w:r>
      <w:r w:rsidR="007F1A22" w:rsidRPr="00E61AEA">
        <w:rPr>
          <w:rFonts w:ascii="Verdana" w:hAnsi="Verdana"/>
          <w:iCs/>
          <w:sz w:val="22"/>
          <w:szCs w:val="22"/>
          <w:lang w:val="es-MX"/>
        </w:rPr>
        <w:t>actuación al</w:t>
      </w:r>
      <w:r w:rsidRPr="00E61AEA">
        <w:rPr>
          <w:rFonts w:ascii="Verdana" w:hAnsi="Verdana"/>
          <w:iCs/>
          <w:sz w:val="22"/>
          <w:szCs w:val="22"/>
          <w:lang w:val="es-MX"/>
        </w:rPr>
        <w:t xml:space="preserve"> cual se </w:t>
      </w:r>
      <w:r w:rsidR="007F1A22" w:rsidRPr="00E61AEA">
        <w:rPr>
          <w:rFonts w:ascii="Verdana" w:hAnsi="Verdana"/>
          <w:iCs/>
          <w:sz w:val="22"/>
          <w:szCs w:val="22"/>
          <w:lang w:val="es-MX"/>
        </w:rPr>
        <w:t>encuentra sujeto</w:t>
      </w:r>
      <w:r w:rsidRPr="00E61AEA">
        <w:rPr>
          <w:rFonts w:ascii="Verdana" w:hAnsi="Verdana"/>
          <w:iCs/>
          <w:sz w:val="22"/>
          <w:szCs w:val="22"/>
          <w:lang w:val="es-MX"/>
        </w:rPr>
        <w:t xml:space="preserve"> todo funcionario público y de no ajustarse a éste sus actos son nulos. </w:t>
      </w:r>
    </w:p>
    <w:p w:rsidR="00D5038C" w:rsidRPr="007C339A" w:rsidRDefault="00D5038C" w:rsidP="00D5038C">
      <w:pPr>
        <w:jc w:val="both"/>
        <w:rPr>
          <w:rFonts w:ascii="Verdana" w:hAnsi="Verdana"/>
          <w:b/>
          <w:sz w:val="22"/>
          <w:szCs w:val="22"/>
          <w:lang w:val="es-MX"/>
        </w:rPr>
      </w:pPr>
    </w:p>
    <w:p w:rsidR="00D5038C" w:rsidRDefault="00D5038C" w:rsidP="00D5038C">
      <w:pPr>
        <w:jc w:val="both"/>
        <w:rPr>
          <w:rFonts w:ascii="Verdana" w:hAnsi="Verdana"/>
          <w:b/>
          <w:sz w:val="22"/>
          <w:szCs w:val="22"/>
        </w:rPr>
      </w:pPr>
      <w:r>
        <w:rPr>
          <w:rFonts w:ascii="Verdana" w:hAnsi="Verdana"/>
          <w:b/>
          <w:sz w:val="22"/>
          <w:szCs w:val="22"/>
        </w:rPr>
        <w:t>DE LA GARANTÍA DEL BEBIDO PROCESO</w:t>
      </w:r>
    </w:p>
    <w:p w:rsidR="00D5038C" w:rsidRDefault="00D5038C" w:rsidP="00D5038C">
      <w:pPr>
        <w:spacing w:after="120"/>
        <w:jc w:val="both"/>
      </w:pPr>
    </w:p>
    <w:p w:rsidR="00D5038C" w:rsidRDefault="00D5038C" w:rsidP="00D5038C">
      <w:pPr>
        <w:spacing w:after="120"/>
        <w:jc w:val="both"/>
        <w:rPr>
          <w:rFonts w:ascii="Verdana" w:hAnsi="Verdana"/>
        </w:rPr>
      </w:pPr>
      <w:r w:rsidRPr="00B42495">
        <w:rPr>
          <w:rFonts w:ascii="Verdana" w:hAnsi="Verdana"/>
        </w:rPr>
        <w:t>El </w:t>
      </w:r>
      <w:r w:rsidRPr="00B42495">
        <w:rPr>
          <w:rFonts w:ascii="Verdana" w:hAnsi="Verdana"/>
          <w:b/>
          <w:bCs/>
        </w:rPr>
        <w:t>debido proceso</w:t>
      </w:r>
      <w:r w:rsidRPr="00B42495">
        <w:rPr>
          <w:rFonts w:ascii="Verdana" w:hAnsi="Verdana"/>
        </w:rPr>
        <w:t> </w:t>
      </w:r>
      <w:r>
        <w:rPr>
          <w:rFonts w:ascii="Verdana" w:hAnsi="Verdana"/>
        </w:rPr>
        <w:t>constituye una garantía de rango constitucional</w:t>
      </w:r>
      <w:r w:rsidRPr="00B42495">
        <w:rPr>
          <w:rFonts w:ascii="Verdana" w:hAnsi="Verdana"/>
        </w:rPr>
        <w:t xml:space="preserve"> </w:t>
      </w:r>
      <w:r>
        <w:rPr>
          <w:rFonts w:ascii="Verdana" w:hAnsi="Verdana"/>
        </w:rPr>
        <w:t xml:space="preserve">que dispone </w:t>
      </w:r>
      <w:r w:rsidR="007F1A22">
        <w:rPr>
          <w:rFonts w:ascii="Verdana" w:hAnsi="Verdana"/>
        </w:rPr>
        <w:t xml:space="preserve">que </w:t>
      </w:r>
      <w:r w:rsidR="007F1A22" w:rsidRPr="00B42495">
        <w:rPr>
          <w:rFonts w:ascii="Verdana" w:hAnsi="Verdana"/>
        </w:rPr>
        <w:t>toda</w:t>
      </w:r>
      <w:r w:rsidRPr="00B42495">
        <w:rPr>
          <w:rFonts w:ascii="Verdana" w:hAnsi="Verdana"/>
        </w:rPr>
        <w:t xml:space="preserve"> persona tenga derecho a ciertas </w:t>
      </w:r>
      <w:r>
        <w:rPr>
          <w:rFonts w:ascii="Verdana" w:hAnsi="Verdana"/>
        </w:rPr>
        <w:t>prerrogativas</w:t>
      </w:r>
      <w:r w:rsidRPr="00B42495">
        <w:rPr>
          <w:rFonts w:ascii="Verdana" w:hAnsi="Verdana"/>
        </w:rPr>
        <w:t xml:space="preserve"> mínimas, </w:t>
      </w:r>
      <w:r>
        <w:rPr>
          <w:rFonts w:ascii="Verdana" w:hAnsi="Verdana"/>
        </w:rPr>
        <w:t xml:space="preserve">de tal suerte que se le garantice el equilibrio y la equidad </w:t>
      </w:r>
      <w:r w:rsidR="007F1A22">
        <w:rPr>
          <w:rFonts w:ascii="Verdana" w:hAnsi="Verdana"/>
        </w:rPr>
        <w:t>procesal</w:t>
      </w:r>
      <w:r w:rsidR="007F1A22" w:rsidRPr="00B42495">
        <w:rPr>
          <w:rFonts w:ascii="Verdana" w:hAnsi="Verdana"/>
        </w:rPr>
        <w:t>,</w:t>
      </w:r>
      <w:r w:rsidR="007F1A22">
        <w:rPr>
          <w:rFonts w:ascii="Verdana" w:hAnsi="Verdana"/>
        </w:rPr>
        <w:t xml:space="preserve"> frente</w:t>
      </w:r>
      <w:r>
        <w:rPr>
          <w:rFonts w:ascii="Verdana" w:hAnsi="Verdana"/>
        </w:rPr>
        <w:t xml:space="preserve"> a los poderes de imperio de la Administración.   Por lo anterior el individuo debe</w:t>
      </w:r>
      <w:r w:rsidRPr="00B42495">
        <w:rPr>
          <w:rFonts w:ascii="Verdana" w:hAnsi="Verdana"/>
        </w:rPr>
        <w:t xml:space="preserve"> tener oportunidad de ser oído y a hacer valer sus pretensiones legítimas frente </w:t>
      </w:r>
      <w:r>
        <w:rPr>
          <w:rFonts w:ascii="Verdana" w:hAnsi="Verdana"/>
        </w:rPr>
        <w:t>a quien dirige el procedimiento de que se trate, siempre que aquel sea de naturaleza sancionador o pretenda imponerle cargas o suprimirle derechos subjetivos</w:t>
      </w:r>
      <w:r w:rsidRPr="00B42495">
        <w:rPr>
          <w:rFonts w:ascii="Verdana" w:hAnsi="Verdana"/>
        </w:rPr>
        <w:t>.</w:t>
      </w:r>
    </w:p>
    <w:p w:rsidR="00D5038C" w:rsidRDefault="00D5038C" w:rsidP="00D5038C">
      <w:pPr>
        <w:spacing w:after="120"/>
        <w:jc w:val="both"/>
        <w:rPr>
          <w:rFonts w:ascii="Verdana" w:hAnsi="Verdana"/>
        </w:rPr>
      </w:pPr>
    </w:p>
    <w:p w:rsidR="00D5038C" w:rsidRPr="00321A2C" w:rsidRDefault="007F1A22" w:rsidP="00D5038C">
      <w:pPr>
        <w:spacing w:after="120"/>
        <w:jc w:val="both"/>
        <w:rPr>
          <w:rFonts w:ascii="Verdana" w:hAnsi="Verdana"/>
        </w:rPr>
      </w:pPr>
      <w:r>
        <w:rPr>
          <w:rFonts w:ascii="Verdana" w:hAnsi="Verdana"/>
        </w:rPr>
        <w:t xml:space="preserve">El </w:t>
      </w:r>
      <w:r w:rsidRPr="00321A2C">
        <w:rPr>
          <w:rFonts w:ascii="Verdana" w:hAnsi="Verdana"/>
        </w:rPr>
        <w:t>Debido</w:t>
      </w:r>
      <w:r w:rsidR="00D5038C" w:rsidRPr="00321A2C">
        <w:rPr>
          <w:rFonts w:ascii="Verdana" w:hAnsi="Verdana"/>
        </w:rPr>
        <w:t xml:space="preserve"> Proceso, debe integrarse y observarse en cuanto a los principios y subprincipios que lo conforman, en todo proceso sancionatorio </w:t>
      </w:r>
      <w:r w:rsidR="00D5038C" w:rsidRPr="0089218A">
        <w:rPr>
          <w:rFonts w:ascii="Verdana" w:hAnsi="Verdana"/>
          <w:b/>
        </w:rPr>
        <w:t>o que pueda culminar con la supresión de derechos subjetivos</w:t>
      </w:r>
      <w:r w:rsidR="00D5038C" w:rsidRPr="00321A2C">
        <w:rPr>
          <w:rFonts w:ascii="Verdana" w:hAnsi="Verdana"/>
        </w:rPr>
        <w:t>. El principio de Derecho a la Defensa, el de intimación, imputación, audiencia, acceso al expediente y comunicación oportuna de la sanción que se acuerde</w:t>
      </w:r>
      <w:r w:rsidR="00D5038C">
        <w:rPr>
          <w:rFonts w:ascii="Verdana" w:hAnsi="Verdana"/>
        </w:rPr>
        <w:t xml:space="preserve"> o de la supresión de un derecho determinado</w:t>
      </w:r>
      <w:r w:rsidR="00D5038C" w:rsidRPr="00321A2C">
        <w:rPr>
          <w:rFonts w:ascii="Verdana" w:hAnsi="Verdana"/>
        </w:rPr>
        <w:t xml:space="preserve">, son entre otros, integrantes del debido proceso, </w:t>
      </w:r>
      <w:r w:rsidR="00D5038C" w:rsidRPr="0089218A">
        <w:rPr>
          <w:rFonts w:ascii="Verdana" w:hAnsi="Verdana"/>
          <w:b/>
        </w:rPr>
        <w:t>garantía de rango constitucional consagrada en los artículos 39 y 41 de la Constitución Política</w:t>
      </w:r>
      <w:r w:rsidR="00D5038C" w:rsidRPr="00321A2C">
        <w:rPr>
          <w:rFonts w:ascii="Verdana" w:hAnsi="Verdana"/>
        </w:rPr>
        <w:t xml:space="preserve"> y deben ser observados taxativamente por parte de la Administración.</w:t>
      </w:r>
    </w:p>
    <w:p w:rsidR="00D5038C" w:rsidRPr="00321A2C" w:rsidRDefault="00D5038C" w:rsidP="00D5038C">
      <w:pPr>
        <w:spacing w:after="120"/>
        <w:jc w:val="both"/>
        <w:rPr>
          <w:rFonts w:ascii="Verdana" w:hAnsi="Verdana"/>
        </w:rPr>
      </w:pPr>
      <w:r>
        <w:rPr>
          <w:rFonts w:ascii="Verdana" w:hAnsi="Verdana"/>
        </w:rPr>
        <w:t>L</w:t>
      </w:r>
      <w:r w:rsidRPr="00321A2C">
        <w:rPr>
          <w:rFonts w:ascii="Verdana" w:hAnsi="Verdana"/>
        </w:rPr>
        <w:t>a Sala Constitucional en su voto N° 5469-95 de las 18:03 horas del 4 de octubre de 1995, señaló, con relación a las garantías que debe observar la Administración en los procedimientos administrativos sancionatorios lo siguiente:</w:t>
      </w:r>
    </w:p>
    <w:p w:rsidR="00D5038C" w:rsidRPr="00321A2C" w:rsidRDefault="00D5038C" w:rsidP="00D5038C">
      <w:pPr>
        <w:spacing w:after="120"/>
        <w:ind w:left="397"/>
        <w:jc w:val="both"/>
        <w:rPr>
          <w:rFonts w:ascii="Verdana" w:hAnsi="Verdana"/>
          <w:i/>
        </w:rPr>
      </w:pPr>
      <w:r w:rsidRPr="00321A2C">
        <w:rPr>
          <w:rFonts w:ascii="Verdana" w:hAnsi="Verdana"/>
          <w:i/>
        </w:rPr>
        <w:t xml:space="preserve">“Esta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w:t>
      </w:r>
      <w:r w:rsidRPr="00321A2C">
        <w:rPr>
          <w:rFonts w:ascii="Verdana" w:hAnsi="Verdana"/>
          <w:i/>
        </w:rPr>
        <w:lastRenderedPageBreak/>
        <w:t>fin al procedimiento; f) Reconocer su derecho a recurrir contra la resolución sancionatoria”</w:t>
      </w:r>
    </w:p>
    <w:p w:rsidR="00D5038C" w:rsidRPr="00B21FCB" w:rsidRDefault="00D5038C" w:rsidP="00D5038C">
      <w:pPr>
        <w:jc w:val="both"/>
        <w:rPr>
          <w:rFonts w:ascii="Verdana" w:hAnsi="Verdana"/>
          <w:b/>
          <w:sz w:val="22"/>
          <w:szCs w:val="22"/>
        </w:rPr>
      </w:pPr>
    </w:p>
    <w:p w:rsidR="00D5038C" w:rsidRPr="00BE0C78" w:rsidRDefault="00D5038C" w:rsidP="00D5038C">
      <w:pPr>
        <w:jc w:val="both"/>
        <w:rPr>
          <w:rFonts w:ascii="Verdana" w:hAnsi="Verdana"/>
        </w:rPr>
      </w:pPr>
      <w:r w:rsidRPr="00BE0C78">
        <w:rPr>
          <w:rFonts w:ascii="Verdana" w:hAnsi="Verdana"/>
        </w:rPr>
        <w:t xml:space="preserve">Más recientemente la misma Sala Constitucional ha indicado sobre el mismo tema en su sentencia 000884 de las nueve horas cuarenta minutos del </w:t>
      </w:r>
      <w:r w:rsidR="00246FCC" w:rsidRPr="00BE0C78">
        <w:rPr>
          <w:rFonts w:ascii="Verdana" w:hAnsi="Verdana"/>
        </w:rPr>
        <w:t>veinticuatro de</w:t>
      </w:r>
      <w:r w:rsidRPr="00BE0C78">
        <w:rPr>
          <w:rFonts w:ascii="Verdana" w:hAnsi="Verdana"/>
        </w:rPr>
        <w:t xml:space="preserve"> enero de dos mil catorce lo siguiente:</w:t>
      </w:r>
    </w:p>
    <w:p w:rsidR="00D5038C" w:rsidRDefault="00D5038C" w:rsidP="00D5038C">
      <w:pPr>
        <w:jc w:val="both"/>
        <w:rPr>
          <w:rFonts w:ascii="Verdana" w:hAnsi="Verdana"/>
          <w:i/>
          <w:sz w:val="22"/>
          <w:szCs w:val="22"/>
        </w:rPr>
      </w:pPr>
    </w:p>
    <w:p w:rsidR="00D5038C" w:rsidRPr="00843823" w:rsidRDefault="00D5038C" w:rsidP="00D5038C">
      <w:pPr>
        <w:ind w:left="397"/>
        <w:jc w:val="both"/>
        <w:rPr>
          <w:rFonts w:ascii="Verdana" w:hAnsi="Verdana"/>
          <w:i/>
        </w:rPr>
      </w:pPr>
    </w:p>
    <w:p w:rsidR="00D5038C" w:rsidRPr="00843823" w:rsidRDefault="00D5038C" w:rsidP="00D5038C">
      <w:pPr>
        <w:ind w:left="397"/>
        <w:jc w:val="both"/>
        <w:rPr>
          <w:rFonts w:ascii="Verdana" w:hAnsi="Verdana"/>
          <w:i/>
        </w:rPr>
      </w:pPr>
      <w:r w:rsidRPr="00843823">
        <w:rPr>
          <w:rFonts w:ascii="Verdana" w:hAnsi="Verdana"/>
          <w:bCs/>
          <w:i/>
        </w:rPr>
        <w:t>“Sobre el debido proceso constitucional.</w:t>
      </w:r>
      <w:r w:rsidRPr="00843823">
        <w:rPr>
          <w:rFonts w:ascii="Verdana" w:hAnsi="Verdana"/>
          <w:i/>
        </w:rPr>
        <w:t> Este Tribunal Constitucional en reiteradas ocasiones ha examinado los elementos básicos constitutivos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constitucional en sede administrativa. Fundamentalmente a partir de la sentencia #15-90 de las dieciséis horas cuarenta y cinco minutos del cinco de enero de mil novecientos noventa, y en repetidos pronunciamientos subsecuentes, se ha dicho lo siguiente:</w:t>
      </w:r>
    </w:p>
    <w:p w:rsidR="00D5038C" w:rsidRPr="00843823" w:rsidRDefault="00D5038C" w:rsidP="00D5038C">
      <w:pPr>
        <w:ind w:left="397"/>
        <w:jc w:val="both"/>
        <w:rPr>
          <w:rFonts w:ascii="Verdana" w:hAnsi="Verdana"/>
          <w:i/>
        </w:rPr>
      </w:pPr>
      <w:r w:rsidRPr="00843823">
        <w:rPr>
          <w:rFonts w:ascii="Verdana" w:hAnsi="Verdana"/>
          <w:i/>
          <w:iCs/>
        </w:rPr>
        <w:t>“(...) el derecho de defensa garantizado por el artículo 39 de la Constitución Política y por consiguiente el principio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contenido en el artículo 41 de nuestra Carta Fundamental, o como suele llamársele en doctrina, principio de 'bilateralidad de la audiencia'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w:t>
      </w:r>
      <w:r w:rsidRPr="00843823">
        <w:rPr>
          <w:rFonts w:ascii="Verdana" w:hAnsi="Verdana"/>
          <w:bCs/>
          <w:i/>
          <w:iCs/>
        </w:rPr>
        <w:t>legal</w:t>
      </w:r>
      <w:r w:rsidRPr="00843823">
        <w:rPr>
          <w:rFonts w:ascii="Verdana" w:hAnsi="Verdana"/>
          <w:i/>
          <w:iCs/>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D5038C" w:rsidRPr="00843823" w:rsidRDefault="00D5038C" w:rsidP="00D5038C">
      <w:pPr>
        <w:ind w:left="397"/>
        <w:jc w:val="both"/>
        <w:rPr>
          <w:rFonts w:ascii="Verdana" w:hAnsi="Verdana"/>
          <w:i/>
        </w:rPr>
      </w:pPr>
      <w:r w:rsidRPr="00843823">
        <w:rPr>
          <w:rFonts w:ascii="Verdana" w:hAnsi="Verdana"/>
          <w:bCs/>
          <w:i/>
        </w:rPr>
        <w:t>III.-</w:t>
      </w:r>
    </w:p>
    <w:p w:rsidR="00D5038C" w:rsidRPr="00843823" w:rsidRDefault="00D5038C" w:rsidP="00D5038C">
      <w:pPr>
        <w:ind w:left="397"/>
        <w:jc w:val="both"/>
        <w:rPr>
          <w:rFonts w:ascii="Verdana" w:hAnsi="Verdana"/>
          <w:i/>
        </w:rPr>
      </w:pPr>
      <w:r w:rsidRPr="00843823">
        <w:rPr>
          <w:rFonts w:ascii="Verdana" w:hAnsi="Verdana"/>
          <w:bCs/>
          <w:i/>
        </w:rPr>
        <w:t>Sobe la trascendencia de las violaciones residenciables en esta jurisdicción. </w:t>
      </w:r>
      <w:r w:rsidRPr="00843823">
        <w:rPr>
          <w:rFonts w:ascii="Verdana" w:hAnsi="Verdana"/>
          <w:i/>
        </w:rPr>
        <w:t>De otra parte, la Sala también ha expresado -al momento de precisar su ámbito de competencia- que en materia de </w:t>
      </w:r>
      <w:r w:rsidRPr="00843823">
        <w:rPr>
          <w:rFonts w:ascii="Verdana" w:hAnsi="Verdana"/>
          <w:bCs/>
          <w:i/>
        </w:rPr>
        <w:t>debido proceso</w:t>
      </w:r>
      <w:r w:rsidRPr="00843823">
        <w:rPr>
          <w:rFonts w:ascii="Verdana" w:hAnsi="Verdana"/>
          <w:i/>
        </w:rPr>
        <w:t xml:space="preserve"> el amparo constitucional, solamente, es procedente contra actos, evidentemente, arbitrarios que conculquen en forma directa derechos fundamentales, es decir, violaciones graves, burdas y claras al derecho de defensa, ya que esta sede no ha sido creada para corregir todos los vicios </w:t>
      </w:r>
      <w:r w:rsidRPr="00843823">
        <w:rPr>
          <w:rFonts w:ascii="Verdana" w:hAnsi="Verdana"/>
          <w:i/>
        </w:rPr>
        <w:lastRenderedPageBreak/>
        <w:t>procedimentales, sino sólo para enmendar las infracciones a los elementos esenciales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que colocan al administrado en un evidente estado de indefensión. De esta manera, no toda infracción a las normas de procedimiento se convierte, </w:t>
      </w:r>
      <w:r w:rsidRPr="00843823">
        <w:rPr>
          <w:rFonts w:ascii="Verdana" w:hAnsi="Verdana"/>
          <w:i/>
          <w:iCs/>
        </w:rPr>
        <w:t>per se</w:t>
      </w:r>
      <w:r w:rsidRPr="00843823">
        <w:rPr>
          <w:rFonts w:ascii="Verdana" w:hAnsi="Verdana"/>
          <w:i/>
        </w:rPr>
        <w:t>, en una violación de relevancia constitucional, amparable en esta sede. Por el contrario, el amparo tan sólo procede, </w:t>
      </w:r>
      <w:r w:rsidRPr="00843823">
        <w:rPr>
          <w:rFonts w:ascii="Verdana" w:hAnsi="Verdana"/>
          <w:bCs/>
          <w:i/>
        </w:rPr>
        <w:t>debido</w:t>
      </w:r>
      <w:r w:rsidRPr="00843823">
        <w:rPr>
          <w:rFonts w:ascii="Verdana" w:hAnsi="Verdana"/>
          <w:i/>
        </w:rPr>
        <w:t xml:space="preserve"> a la sumariedad que lo caracteriza, ante violaciones graves que conculquen o amenacen conculcar, de forma directa y efectiva el derecho de defensa o 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w:t>
      </w:r>
      <w:r>
        <w:rPr>
          <w:rFonts w:ascii="Verdana" w:hAnsi="Verdana"/>
          <w:i/>
        </w:rPr>
        <w:t>”</w:t>
      </w:r>
      <w:r w:rsidRPr="00843823">
        <w:rPr>
          <w:rFonts w:ascii="Verdana" w:hAnsi="Verdana"/>
          <w:i/>
        </w:rPr>
        <w:t>. </w:t>
      </w:r>
    </w:p>
    <w:p w:rsidR="00D5038C" w:rsidRPr="00230FCB" w:rsidRDefault="00D5038C" w:rsidP="00D5038C">
      <w:pPr>
        <w:jc w:val="both"/>
        <w:rPr>
          <w:rFonts w:ascii="Verdana" w:hAnsi="Verdana"/>
          <w:sz w:val="22"/>
          <w:szCs w:val="22"/>
        </w:rPr>
      </w:pPr>
    </w:p>
    <w:p w:rsidR="00246FCC" w:rsidRDefault="00246FCC" w:rsidP="00D5038C">
      <w:pPr>
        <w:autoSpaceDE w:val="0"/>
        <w:autoSpaceDN w:val="0"/>
        <w:adjustRightInd w:val="0"/>
        <w:jc w:val="both"/>
        <w:rPr>
          <w:rFonts w:ascii="Verdana" w:hAnsi="Verdana"/>
          <w:b/>
          <w:bCs/>
          <w:sz w:val="22"/>
          <w:szCs w:val="22"/>
          <w:lang w:val="es-MX"/>
        </w:rPr>
      </w:pPr>
    </w:p>
    <w:p w:rsidR="00D5038C" w:rsidRPr="00E61AEA" w:rsidRDefault="00D5038C" w:rsidP="00D5038C">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D5038C" w:rsidRDefault="00D5038C" w:rsidP="00D5038C">
      <w:pPr>
        <w:ind w:left="540" w:right="560"/>
        <w:jc w:val="both"/>
        <w:rPr>
          <w:rFonts w:ascii="Verdana" w:eastAsia="MS Mincho" w:hAnsi="Verdana"/>
          <w:i/>
          <w:sz w:val="22"/>
          <w:szCs w:val="22"/>
        </w:rPr>
      </w:pPr>
    </w:p>
    <w:p w:rsidR="00D5038C" w:rsidRPr="00E61AEA" w:rsidRDefault="00D5038C" w:rsidP="00D5038C">
      <w:pPr>
        <w:jc w:val="both"/>
        <w:rPr>
          <w:rFonts w:ascii="Verdana" w:hAnsi="Verdana"/>
          <w:sz w:val="22"/>
          <w:szCs w:val="22"/>
        </w:rPr>
      </w:pPr>
    </w:p>
    <w:p w:rsidR="00D5038C" w:rsidRDefault="00D5038C" w:rsidP="00D5038C">
      <w:pPr>
        <w:jc w:val="both"/>
        <w:rPr>
          <w:rFonts w:ascii="Verdana" w:hAnsi="Verdana"/>
          <w:i/>
          <w:sz w:val="22"/>
          <w:szCs w:val="22"/>
        </w:rPr>
      </w:pPr>
      <w:r w:rsidRPr="00E61AEA">
        <w:rPr>
          <w:rFonts w:ascii="Verdana" w:hAnsi="Verdana"/>
          <w:sz w:val="22"/>
          <w:szCs w:val="22"/>
        </w:rPr>
        <w:t xml:space="preserve">La motivación de los actos administrativos, de conformidad </w:t>
      </w:r>
      <w:r w:rsidR="00246FCC" w:rsidRPr="00E61AEA">
        <w:rPr>
          <w:rFonts w:ascii="Verdana" w:hAnsi="Verdana"/>
          <w:sz w:val="22"/>
          <w:szCs w:val="22"/>
        </w:rPr>
        <w:t>con los</w:t>
      </w:r>
      <w:r w:rsidRPr="00E61AEA">
        <w:rPr>
          <w:rFonts w:ascii="Verdana" w:hAnsi="Verdana"/>
          <w:sz w:val="22"/>
          <w:szCs w:val="22"/>
        </w:rPr>
        <w:t xml:space="preserve"> artículos 133 y </w:t>
      </w:r>
      <w:r w:rsidR="00246FCC" w:rsidRPr="00E61AEA">
        <w:rPr>
          <w:rFonts w:ascii="Verdana" w:hAnsi="Verdana"/>
          <w:sz w:val="22"/>
          <w:szCs w:val="22"/>
        </w:rPr>
        <w:t>136 de</w:t>
      </w:r>
      <w:r w:rsidRPr="00E61AEA">
        <w:rPr>
          <w:rFonts w:ascii="Verdana" w:hAnsi="Verdana"/>
          <w:sz w:val="22"/>
          <w:szCs w:val="22"/>
        </w:rPr>
        <w:t xml:space="preserve"> </w:t>
      </w:r>
      <w:r w:rsidR="00246FCC" w:rsidRPr="00E61AEA">
        <w:rPr>
          <w:rFonts w:ascii="Verdana" w:hAnsi="Verdana"/>
          <w:sz w:val="22"/>
          <w:szCs w:val="22"/>
        </w:rPr>
        <w:t>la Ley</w:t>
      </w:r>
      <w:r w:rsidRPr="00E61AEA">
        <w:rPr>
          <w:rFonts w:ascii="Verdana" w:hAnsi="Verdana"/>
          <w:sz w:val="22"/>
          <w:szCs w:val="22"/>
        </w:rPr>
        <w:t xml:space="preserve"> General de Administración Pública, constituye </w:t>
      </w:r>
      <w:r w:rsidR="00246FCC" w:rsidRPr="00E61AEA">
        <w:rPr>
          <w:rFonts w:ascii="Verdana" w:hAnsi="Verdana"/>
          <w:sz w:val="22"/>
          <w:szCs w:val="22"/>
        </w:rPr>
        <w:t>un elemento</w:t>
      </w:r>
      <w:r w:rsidRPr="00E61AEA">
        <w:rPr>
          <w:rFonts w:ascii="Verdana" w:hAnsi="Verdana"/>
          <w:sz w:val="22"/>
          <w:szCs w:val="22"/>
        </w:rPr>
        <w:t xml:space="preserve">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r w:rsidR="00246FCC" w:rsidRPr="00E61AEA">
        <w:rPr>
          <w:rFonts w:ascii="Verdana" w:hAnsi="Verdana"/>
          <w:sz w:val="22"/>
          <w:szCs w:val="22"/>
        </w:rPr>
        <w:t>su eventual</w:t>
      </w:r>
      <w:r w:rsidRPr="00E61AEA">
        <w:rPr>
          <w:rFonts w:ascii="Verdana" w:hAnsi="Verdana"/>
          <w:sz w:val="22"/>
          <w:szCs w:val="22"/>
        </w:rPr>
        <w:t xml:space="preserve">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D5038C" w:rsidRDefault="00D5038C" w:rsidP="00D5038C">
      <w:pPr>
        <w:jc w:val="both"/>
        <w:rPr>
          <w:rFonts w:ascii="Verdana" w:hAnsi="Verdana"/>
          <w:i/>
          <w:sz w:val="22"/>
          <w:szCs w:val="22"/>
        </w:rPr>
      </w:pPr>
    </w:p>
    <w:p w:rsidR="00D5038C" w:rsidRPr="00E61AEA" w:rsidRDefault="00D5038C" w:rsidP="00D5038C">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w:t>
      </w:r>
      <w:r w:rsidR="00F23A62">
        <w:rPr>
          <w:rFonts w:ascii="Verdana" w:eastAsia="MS Mincho" w:hAnsi="Verdana"/>
          <w:sz w:val="22"/>
          <w:szCs w:val="22"/>
        </w:rPr>
        <w:t>s</w:t>
      </w:r>
      <w:r>
        <w:rPr>
          <w:rFonts w:ascii="Verdana" w:eastAsia="MS Mincho" w:hAnsi="Verdana"/>
          <w:sz w:val="22"/>
          <w:szCs w:val="22"/>
        </w:rPr>
        <w:t xml:space="preserve">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D5038C" w:rsidRPr="00E61AEA" w:rsidRDefault="00D5038C" w:rsidP="00D5038C">
      <w:pPr>
        <w:autoSpaceDE w:val="0"/>
        <w:autoSpaceDN w:val="0"/>
        <w:adjustRightInd w:val="0"/>
        <w:jc w:val="both"/>
        <w:rPr>
          <w:rFonts w:ascii="Verdana" w:hAnsi="Verdana"/>
          <w:bCs/>
        </w:rPr>
      </w:pPr>
    </w:p>
    <w:p w:rsidR="00D5038C" w:rsidRPr="00E61AEA" w:rsidRDefault="00D5038C" w:rsidP="00D5038C">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D5038C" w:rsidRPr="00E61AEA" w:rsidRDefault="00D5038C" w:rsidP="00D5038C">
      <w:pPr>
        <w:ind w:left="540" w:right="560"/>
        <w:jc w:val="both"/>
        <w:rPr>
          <w:rFonts w:ascii="Verdana" w:eastAsia="MS Mincho" w:hAnsi="Verdana"/>
          <w:i/>
          <w:sz w:val="22"/>
          <w:szCs w:val="22"/>
        </w:rPr>
      </w:pPr>
    </w:p>
    <w:p w:rsidR="00D5038C" w:rsidRPr="00E61AEA" w:rsidRDefault="00D5038C" w:rsidP="00D5038C">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D5038C" w:rsidRPr="00E61AEA" w:rsidRDefault="00D5038C" w:rsidP="00D5038C">
      <w:pPr>
        <w:ind w:left="540" w:right="560"/>
        <w:jc w:val="both"/>
        <w:rPr>
          <w:rFonts w:ascii="Verdana" w:eastAsia="MS Mincho" w:hAnsi="Verdana"/>
          <w:i/>
          <w:sz w:val="22"/>
          <w:szCs w:val="22"/>
        </w:rPr>
      </w:pPr>
    </w:p>
    <w:p w:rsidR="00D5038C" w:rsidRPr="00E61AEA" w:rsidRDefault="00D5038C" w:rsidP="00D5038C">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D5038C" w:rsidRPr="00E61AEA" w:rsidRDefault="00D5038C" w:rsidP="00D5038C">
      <w:pPr>
        <w:ind w:left="540" w:right="560"/>
        <w:jc w:val="both"/>
        <w:rPr>
          <w:rFonts w:ascii="Verdana" w:eastAsia="MS Mincho" w:hAnsi="Verdana"/>
          <w:i/>
          <w:sz w:val="22"/>
          <w:szCs w:val="22"/>
        </w:rPr>
      </w:pPr>
      <w:r w:rsidRPr="00E61AEA">
        <w:rPr>
          <w:rFonts w:ascii="Verdana" w:eastAsia="MS Mincho" w:hAnsi="Verdana"/>
          <w:i/>
          <w:sz w:val="22"/>
          <w:szCs w:val="22"/>
        </w:rPr>
        <w:lastRenderedPageBreak/>
        <w:t xml:space="preserve">     b) Los que resuelvan recursos;</w:t>
      </w:r>
    </w:p>
    <w:p w:rsidR="00D5038C" w:rsidRPr="00E61AEA" w:rsidRDefault="00D5038C" w:rsidP="00D5038C">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D5038C" w:rsidRPr="00E61AEA" w:rsidRDefault="00D5038C" w:rsidP="00D5038C">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D5038C" w:rsidRPr="00E61AEA" w:rsidRDefault="00D5038C" w:rsidP="00D5038C">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D5038C" w:rsidRPr="00E61AEA" w:rsidRDefault="00D5038C" w:rsidP="00D5038C">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D5038C" w:rsidRPr="00E61AEA" w:rsidRDefault="00D5038C" w:rsidP="00D5038C">
      <w:pPr>
        <w:ind w:left="540" w:right="560"/>
        <w:jc w:val="both"/>
        <w:rPr>
          <w:rFonts w:ascii="Verdana" w:eastAsia="MS Mincho" w:hAnsi="Verdana"/>
          <w:i/>
          <w:sz w:val="22"/>
          <w:szCs w:val="22"/>
        </w:rPr>
      </w:pPr>
    </w:p>
    <w:p w:rsidR="00D5038C" w:rsidRDefault="00D5038C" w:rsidP="00D5038C">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D5038C" w:rsidRPr="00E61AEA" w:rsidRDefault="00D5038C" w:rsidP="00D5038C">
      <w:pPr>
        <w:ind w:left="540" w:right="560"/>
        <w:jc w:val="both"/>
        <w:rPr>
          <w:rFonts w:ascii="Verdana" w:hAnsi="Verdana"/>
          <w:sz w:val="22"/>
          <w:szCs w:val="22"/>
        </w:rPr>
      </w:pPr>
    </w:p>
    <w:p w:rsidR="00D5038C" w:rsidRPr="00EF4495" w:rsidRDefault="00D5038C" w:rsidP="00D5038C">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D5038C" w:rsidRPr="00B1212C" w:rsidRDefault="00D5038C" w:rsidP="00D5038C">
      <w:pPr>
        <w:ind w:left="340" w:right="340"/>
        <w:jc w:val="both"/>
        <w:rPr>
          <w:rFonts w:ascii="Verdana" w:hAnsi="Verdana"/>
          <w:b/>
          <w:bCs/>
          <w:i/>
        </w:rPr>
      </w:pPr>
    </w:p>
    <w:p w:rsidR="00D5038C" w:rsidRPr="00EF4495" w:rsidRDefault="00D5038C" w:rsidP="00D5038C">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prohijan.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w:t>
      </w:r>
      <w:r w:rsidRPr="005052FA">
        <w:rPr>
          <w:rFonts w:ascii="Verdana" w:hAnsi="Verdana"/>
          <w:bCs/>
          <w:i/>
          <w:sz w:val="18"/>
          <w:szCs w:val="18"/>
        </w:rPr>
        <w:lastRenderedPageBreak/>
        <w:t xml:space="preserve">aseveraciones </w:t>
      </w:r>
      <w:r w:rsidR="00246FCC" w:rsidRPr="005052FA">
        <w:rPr>
          <w:rFonts w:ascii="Verdana" w:hAnsi="Verdana"/>
          <w:bCs/>
          <w:i/>
          <w:sz w:val="18"/>
          <w:szCs w:val="18"/>
        </w:rPr>
        <w:t>que,</w:t>
      </w:r>
      <w:r w:rsidRPr="005052FA">
        <w:rPr>
          <w:rFonts w:ascii="Verdana" w:hAnsi="Verdana"/>
          <w:bCs/>
          <w:i/>
          <w:sz w:val="18"/>
          <w:szCs w:val="18"/>
        </w:rPr>
        <w:t xml:space="preserve"> al margen de su fundamento, no encuentran justificación en el acto mismo, imposibilitando la comprensión de dichas causas y su </w:t>
      </w:r>
      <w:r w:rsidR="00246FCC" w:rsidRPr="005052FA">
        <w:rPr>
          <w:rFonts w:ascii="Verdana" w:hAnsi="Verdana"/>
          <w:bCs/>
          <w:i/>
          <w:sz w:val="18"/>
          <w:szCs w:val="18"/>
        </w:rPr>
        <w:t>recurribilidad…</w:t>
      </w:r>
      <w:r w:rsidRPr="005052FA">
        <w:rPr>
          <w:i/>
          <w:sz w:val="18"/>
          <w:szCs w:val="18"/>
        </w:rPr>
        <w:t>”</w:t>
      </w:r>
    </w:p>
    <w:p w:rsidR="00D5038C" w:rsidRPr="00EF4495" w:rsidRDefault="00D5038C" w:rsidP="00D5038C">
      <w:pPr>
        <w:jc w:val="both"/>
        <w:rPr>
          <w:sz w:val="18"/>
          <w:szCs w:val="18"/>
        </w:rPr>
      </w:pPr>
    </w:p>
    <w:p w:rsidR="00527E85" w:rsidRPr="00D5038C" w:rsidRDefault="00527E85" w:rsidP="008C0A8B">
      <w:pPr>
        <w:jc w:val="both"/>
        <w:rPr>
          <w:rFonts w:ascii="Verdana" w:hAnsi="Verdana"/>
          <w:b/>
          <w:bCs/>
          <w:sz w:val="22"/>
          <w:szCs w:val="22"/>
        </w:rPr>
      </w:pPr>
    </w:p>
    <w:p w:rsidR="008C0A8B" w:rsidRDefault="008C0A8B" w:rsidP="008C0A8B">
      <w:pPr>
        <w:jc w:val="both"/>
        <w:rPr>
          <w:rFonts w:ascii="Verdana" w:hAnsi="Verdana"/>
          <w:b/>
          <w:sz w:val="22"/>
          <w:szCs w:val="22"/>
          <w:lang w:val="es-MX"/>
        </w:rPr>
      </w:pPr>
      <w:r>
        <w:rPr>
          <w:rFonts w:ascii="Verdana" w:hAnsi="Verdana"/>
          <w:b/>
          <w:sz w:val="22"/>
          <w:szCs w:val="22"/>
          <w:lang w:val="es-MX"/>
        </w:rPr>
        <w:t>DEL INCUMPLIMIENTO DE NO TENER EL TAXI CUBIERTO CON POLIZA DE SEGUROS.</w:t>
      </w:r>
    </w:p>
    <w:p w:rsidR="008C0A8B" w:rsidRPr="00137505" w:rsidRDefault="008C0A8B" w:rsidP="008C0A8B">
      <w:pPr>
        <w:jc w:val="both"/>
        <w:rPr>
          <w:rFonts w:ascii="Verdana" w:hAnsi="Verdana"/>
          <w:b/>
          <w:sz w:val="22"/>
          <w:szCs w:val="22"/>
          <w:lang w:val="es-MX"/>
        </w:rPr>
      </w:pPr>
    </w:p>
    <w:p w:rsidR="008C0A8B" w:rsidRPr="00884746" w:rsidRDefault="008C0A8B" w:rsidP="008C0A8B">
      <w:pPr>
        <w:jc w:val="both"/>
        <w:rPr>
          <w:rFonts w:ascii="Verdana" w:hAnsi="Verdana"/>
          <w:sz w:val="22"/>
          <w:szCs w:val="22"/>
          <w:lang w:val="es-MX"/>
        </w:rPr>
      </w:pPr>
      <w:r>
        <w:rPr>
          <w:rFonts w:ascii="Verdana" w:hAnsi="Verdana"/>
          <w:sz w:val="22"/>
          <w:szCs w:val="22"/>
          <w:lang w:val="es-MX"/>
        </w:rPr>
        <w:t>Como se desprende de lo indicado anteriormente,</w:t>
      </w:r>
      <w:r w:rsidRPr="00884746">
        <w:rPr>
          <w:rFonts w:ascii="Verdana" w:hAnsi="Verdana"/>
          <w:sz w:val="22"/>
          <w:szCs w:val="22"/>
          <w:lang w:val="es-MX"/>
        </w:rPr>
        <w:t xml:space="preserve"> el incumplimiento se dio en violación clara de lo dispuesto por la </w:t>
      </w:r>
      <w:r w:rsidRPr="00884746">
        <w:rPr>
          <w:rFonts w:ascii="Verdana" w:hAnsi="Verdana"/>
          <w:sz w:val="22"/>
          <w:szCs w:val="22"/>
        </w:rPr>
        <w:t>Ley N°7969, la cual en sus artículos 40 y 52 dispone:</w:t>
      </w:r>
    </w:p>
    <w:p w:rsidR="008C0A8B" w:rsidRPr="00315A04" w:rsidRDefault="008C0A8B" w:rsidP="008C0A8B">
      <w:pPr>
        <w:pStyle w:val="NormalWeb"/>
        <w:ind w:left="510" w:right="510"/>
        <w:jc w:val="both"/>
        <w:rPr>
          <w:rFonts w:ascii="Verdana" w:hAnsi="Verdana"/>
          <w:b/>
          <w:i/>
          <w:sz w:val="20"/>
          <w:szCs w:val="20"/>
        </w:rPr>
      </w:pPr>
      <w:r>
        <w:rPr>
          <w:rFonts w:ascii="Verdana" w:hAnsi="Verdana"/>
          <w:b/>
          <w:i/>
          <w:sz w:val="20"/>
          <w:szCs w:val="20"/>
        </w:rPr>
        <w:t xml:space="preserve"> </w:t>
      </w:r>
      <w:r w:rsidRPr="00315A04">
        <w:rPr>
          <w:rFonts w:ascii="Verdana" w:hAnsi="Verdana"/>
          <w:b/>
          <w:i/>
          <w:sz w:val="20"/>
          <w:szCs w:val="20"/>
        </w:rPr>
        <w:t>ARTÍCULO 40.- Extinción de la concesión</w:t>
      </w:r>
    </w:p>
    <w:p w:rsidR="008C0A8B" w:rsidRPr="00315A04" w:rsidRDefault="008C0A8B" w:rsidP="008C0A8B">
      <w:pPr>
        <w:pStyle w:val="NormalWeb"/>
        <w:ind w:left="510" w:right="510"/>
        <w:jc w:val="both"/>
        <w:rPr>
          <w:rFonts w:ascii="Verdana" w:hAnsi="Verdana"/>
          <w:i/>
          <w:sz w:val="20"/>
          <w:szCs w:val="20"/>
        </w:rPr>
      </w:pPr>
      <w:r w:rsidRPr="00315A04">
        <w:rPr>
          <w:rFonts w:ascii="Verdana" w:hAnsi="Verdana"/>
          <w:i/>
          <w:sz w:val="20"/>
          <w:szCs w:val="20"/>
        </w:rPr>
        <w:t>El Consejo podrá cancelar la concesión administrativamente, de conformidad con las siguientes causales:</w:t>
      </w:r>
    </w:p>
    <w:p w:rsidR="008C0A8B" w:rsidRPr="00315A04" w:rsidRDefault="008C0A8B" w:rsidP="008C0A8B">
      <w:pPr>
        <w:pStyle w:val="NormalWeb"/>
        <w:ind w:left="510" w:right="510"/>
        <w:jc w:val="both"/>
        <w:rPr>
          <w:rFonts w:ascii="Verdana" w:hAnsi="Verdana"/>
          <w:i/>
          <w:sz w:val="20"/>
          <w:szCs w:val="20"/>
        </w:rPr>
      </w:pPr>
      <w:r w:rsidRPr="00315A04">
        <w:rPr>
          <w:rFonts w:ascii="Verdana" w:hAnsi="Verdana"/>
          <w:b/>
          <w:i/>
          <w:sz w:val="20"/>
          <w:szCs w:val="20"/>
        </w:rPr>
        <w:t>a) Incumplir las obligaciones y los deberes fijados en esta ley, su reglamento, el contrato o leyes y reglamentos conexos.</w:t>
      </w:r>
      <w:r>
        <w:rPr>
          <w:rFonts w:ascii="Verdana" w:hAnsi="Verdana"/>
          <w:b/>
          <w:i/>
          <w:sz w:val="20"/>
          <w:szCs w:val="20"/>
        </w:rPr>
        <w:t xml:space="preserve"> </w:t>
      </w:r>
      <w:r w:rsidR="00246FCC">
        <w:rPr>
          <w:rFonts w:ascii="Verdana" w:hAnsi="Verdana"/>
          <w:i/>
          <w:sz w:val="20"/>
          <w:szCs w:val="20"/>
        </w:rPr>
        <w:t>(…) (</w:t>
      </w:r>
      <w:r>
        <w:rPr>
          <w:rFonts w:ascii="Verdana" w:hAnsi="Verdana"/>
          <w:i/>
          <w:sz w:val="20"/>
          <w:szCs w:val="20"/>
        </w:rPr>
        <w:t>El resaltado no es del Original)</w:t>
      </w:r>
    </w:p>
    <w:p w:rsidR="008C0A8B" w:rsidRPr="00315A04" w:rsidRDefault="008C0A8B" w:rsidP="008C0A8B">
      <w:pPr>
        <w:pStyle w:val="NormalWeb"/>
        <w:ind w:left="510" w:right="510"/>
        <w:jc w:val="both"/>
        <w:rPr>
          <w:rFonts w:ascii="Verdana" w:hAnsi="Verdana"/>
          <w:b/>
          <w:i/>
          <w:sz w:val="20"/>
          <w:szCs w:val="20"/>
        </w:rPr>
      </w:pPr>
      <w:r w:rsidRPr="00315A04">
        <w:rPr>
          <w:rFonts w:ascii="Verdana" w:hAnsi="Verdana"/>
          <w:b/>
          <w:i/>
          <w:sz w:val="20"/>
          <w:szCs w:val="20"/>
        </w:rPr>
        <w:t>ARTÍCULO 52.- Seguros y responsabilidad frente a terceros</w:t>
      </w:r>
    </w:p>
    <w:p w:rsidR="008C0A8B" w:rsidRPr="00315A04" w:rsidRDefault="008C0A8B" w:rsidP="008C0A8B">
      <w:pPr>
        <w:pStyle w:val="NormalWeb"/>
        <w:ind w:left="510" w:right="510"/>
        <w:jc w:val="both"/>
        <w:rPr>
          <w:rFonts w:ascii="Verdana" w:hAnsi="Verdana"/>
          <w:i/>
          <w:sz w:val="20"/>
          <w:szCs w:val="20"/>
        </w:rPr>
      </w:pPr>
      <w:r w:rsidRPr="00315A04">
        <w:rPr>
          <w:rFonts w:ascii="Verdana" w:hAnsi="Verdana"/>
          <w:i/>
          <w:sz w:val="20"/>
          <w:szCs w:val="20"/>
        </w:rPr>
        <w:t xml:space="preserve">Los concesionarios para la prestación del servicio público en la modalidad de taxi </w:t>
      </w:r>
      <w:r w:rsidRPr="00567826">
        <w:rPr>
          <w:rFonts w:ascii="Verdana" w:hAnsi="Verdana"/>
          <w:b/>
          <w:i/>
          <w:sz w:val="20"/>
          <w:szCs w:val="20"/>
        </w:rPr>
        <w:t>estarán obligados a obtener, previo al funcionamiento y la operación, una póliza de seguros que cubra</w:t>
      </w:r>
      <w:r w:rsidRPr="00315A04">
        <w:rPr>
          <w:rFonts w:ascii="Verdana" w:hAnsi="Verdana"/>
          <w:i/>
          <w:sz w:val="20"/>
          <w:szCs w:val="20"/>
        </w:rPr>
        <w:t xml:space="preserve">, íntegramente, su responsabilidad civil por lesión o muerte de terceros y por daños a la propiedad de terceros, así como a mantenerla vigente durante todo el período del contrato de </w:t>
      </w:r>
      <w:r w:rsidR="00246FCC" w:rsidRPr="00315A04">
        <w:rPr>
          <w:rFonts w:ascii="Verdana" w:hAnsi="Verdana"/>
          <w:i/>
          <w:sz w:val="20"/>
          <w:szCs w:val="20"/>
        </w:rPr>
        <w:t>concesión.</w:t>
      </w:r>
      <w:r w:rsidR="00246FCC">
        <w:rPr>
          <w:rFonts w:ascii="Verdana" w:hAnsi="Verdana"/>
          <w:i/>
          <w:sz w:val="20"/>
          <w:szCs w:val="20"/>
        </w:rPr>
        <w:t xml:space="preserve"> (..)</w:t>
      </w:r>
      <w:r>
        <w:rPr>
          <w:rFonts w:ascii="Verdana" w:hAnsi="Verdana"/>
          <w:i/>
          <w:sz w:val="20"/>
          <w:szCs w:val="20"/>
        </w:rPr>
        <w:t xml:space="preserve"> </w:t>
      </w:r>
      <w:r w:rsidR="00246FCC">
        <w:rPr>
          <w:rFonts w:ascii="Verdana" w:hAnsi="Verdana"/>
          <w:i/>
          <w:sz w:val="20"/>
          <w:szCs w:val="20"/>
        </w:rPr>
        <w:t>(El</w:t>
      </w:r>
      <w:r>
        <w:rPr>
          <w:rFonts w:ascii="Verdana" w:hAnsi="Verdana"/>
          <w:i/>
          <w:sz w:val="20"/>
          <w:szCs w:val="20"/>
        </w:rPr>
        <w:t xml:space="preserve"> resaltado es nuestro)</w:t>
      </w:r>
    </w:p>
    <w:p w:rsidR="008C0A8B" w:rsidRDefault="008C0A8B" w:rsidP="008C0A8B">
      <w:pPr>
        <w:jc w:val="both"/>
        <w:rPr>
          <w:rFonts w:ascii="Verdana" w:hAnsi="Verdana"/>
          <w:sz w:val="22"/>
          <w:szCs w:val="22"/>
        </w:rPr>
      </w:pPr>
      <w:r>
        <w:rPr>
          <w:rFonts w:ascii="Verdana" w:hAnsi="Verdana"/>
        </w:rPr>
        <w:t>De acuerdo con la normativa transcrita, es causal de caducidad de la concesión de taxi, el incumplimiento de lo dispuesto en el Artículo 52 de la Ley</w:t>
      </w:r>
      <w:r w:rsidRPr="00884746">
        <w:rPr>
          <w:rFonts w:ascii="Verdana" w:hAnsi="Verdana"/>
          <w:sz w:val="22"/>
          <w:szCs w:val="22"/>
        </w:rPr>
        <w:t xml:space="preserve"> N°7969</w:t>
      </w:r>
      <w:r>
        <w:rPr>
          <w:rFonts w:ascii="Verdana" w:hAnsi="Verdana"/>
          <w:sz w:val="22"/>
          <w:szCs w:val="22"/>
        </w:rPr>
        <w:t>, con relación a lo referido en el numeral 40 del mismo cuerpo normativo; no es posible, que un vehículo de Transporte Público circule sin las respectivas coberturas, que brinden protección tanto a terceros, en caso de daños a la propiedad de otras personas, como a la integridad física de los pasajeros que utilizan el servicio y de posibles afectados que circulen en otros vehículos o como peatones.</w:t>
      </w:r>
    </w:p>
    <w:p w:rsidR="008C0A8B" w:rsidRDefault="008C0A8B" w:rsidP="008C0A8B">
      <w:pPr>
        <w:jc w:val="both"/>
        <w:rPr>
          <w:rFonts w:ascii="Verdana" w:hAnsi="Verdana"/>
          <w:sz w:val="22"/>
          <w:szCs w:val="22"/>
          <w:lang w:val="es-MX"/>
        </w:rPr>
      </w:pPr>
    </w:p>
    <w:p w:rsidR="00F23A62" w:rsidRDefault="00F23A62" w:rsidP="008C0A8B">
      <w:pPr>
        <w:jc w:val="both"/>
        <w:rPr>
          <w:rFonts w:ascii="Verdana" w:hAnsi="Verdana"/>
          <w:b/>
          <w:sz w:val="22"/>
          <w:szCs w:val="22"/>
        </w:rPr>
      </w:pPr>
    </w:p>
    <w:p w:rsidR="00F23A62" w:rsidRDefault="00F23A62" w:rsidP="008C0A8B">
      <w:pPr>
        <w:jc w:val="both"/>
        <w:rPr>
          <w:rFonts w:ascii="Verdana" w:hAnsi="Verdana"/>
          <w:b/>
          <w:sz w:val="22"/>
          <w:szCs w:val="22"/>
        </w:rPr>
      </w:pPr>
    </w:p>
    <w:p w:rsidR="00F23A62" w:rsidRDefault="00F23A62" w:rsidP="008C0A8B">
      <w:pPr>
        <w:jc w:val="both"/>
        <w:rPr>
          <w:rFonts w:ascii="Verdana" w:hAnsi="Verdana"/>
          <w:b/>
          <w:sz w:val="22"/>
          <w:szCs w:val="22"/>
        </w:rPr>
      </w:pPr>
    </w:p>
    <w:p w:rsidR="008C0A8B" w:rsidRDefault="00E82B6E" w:rsidP="008C0A8B">
      <w:pPr>
        <w:jc w:val="both"/>
        <w:rPr>
          <w:rFonts w:ascii="Verdana" w:hAnsi="Verdana"/>
          <w:b/>
          <w:sz w:val="22"/>
          <w:szCs w:val="22"/>
        </w:rPr>
      </w:pPr>
      <w:r>
        <w:rPr>
          <w:rFonts w:ascii="Verdana" w:hAnsi="Verdana"/>
          <w:b/>
          <w:sz w:val="22"/>
          <w:szCs w:val="22"/>
        </w:rPr>
        <w:t>SOBRE EL CASO CONCRETO</w:t>
      </w:r>
      <w:r w:rsidR="008C0A8B">
        <w:rPr>
          <w:rFonts w:ascii="Verdana" w:hAnsi="Verdana"/>
          <w:b/>
          <w:sz w:val="22"/>
          <w:szCs w:val="22"/>
        </w:rPr>
        <w:t>.</w:t>
      </w:r>
    </w:p>
    <w:p w:rsidR="008C0A8B" w:rsidRDefault="008C0A8B" w:rsidP="008C0A8B">
      <w:pPr>
        <w:jc w:val="both"/>
        <w:rPr>
          <w:rFonts w:ascii="Verdana" w:hAnsi="Verdana"/>
          <w:b/>
          <w:sz w:val="22"/>
          <w:szCs w:val="22"/>
        </w:rPr>
      </w:pPr>
    </w:p>
    <w:p w:rsidR="005C703F" w:rsidRDefault="00936EF1" w:rsidP="00936EF1">
      <w:pPr>
        <w:tabs>
          <w:tab w:val="left" w:pos="5100"/>
        </w:tabs>
        <w:jc w:val="both"/>
        <w:rPr>
          <w:rFonts w:ascii="Verdana" w:hAnsi="Verdana"/>
          <w:sz w:val="22"/>
          <w:szCs w:val="22"/>
        </w:rPr>
      </w:pPr>
      <w:r w:rsidRPr="00936EF1">
        <w:rPr>
          <w:rFonts w:ascii="Verdana" w:hAnsi="Verdana"/>
          <w:sz w:val="22"/>
          <w:szCs w:val="22"/>
        </w:rPr>
        <w:t>Se ha procedido a hacer un análisis</w:t>
      </w:r>
      <w:r>
        <w:rPr>
          <w:rFonts w:ascii="Verdana" w:hAnsi="Verdana"/>
          <w:sz w:val="22"/>
          <w:szCs w:val="22"/>
        </w:rPr>
        <w:t xml:space="preserve"> de las circunstancias que rodean el caso y los argumentos del recurrente</w:t>
      </w:r>
      <w:r w:rsidR="0036377B">
        <w:rPr>
          <w:rFonts w:ascii="Verdana" w:hAnsi="Verdana"/>
          <w:sz w:val="22"/>
          <w:szCs w:val="22"/>
        </w:rPr>
        <w:t xml:space="preserve"> y en la especie en cuanto </w:t>
      </w:r>
      <w:r w:rsidR="005C703F">
        <w:rPr>
          <w:rFonts w:ascii="Verdana" w:hAnsi="Verdana"/>
          <w:sz w:val="22"/>
          <w:szCs w:val="22"/>
        </w:rPr>
        <w:t>a lo indicado en el sentido de que el acto es Nulo, por violación al principio de Legalidad y del Debido Proceso, se puede verificar que no</w:t>
      </w:r>
      <w:r w:rsidR="00246FCC">
        <w:rPr>
          <w:rFonts w:ascii="Verdana" w:hAnsi="Verdana"/>
          <w:sz w:val="22"/>
          <w:szCs w:val="22"/>
        </w:rPr>
        <w:t xml:space="preserve"> tiene razón el recurrente. </w:t>
      </w:r>
    </w:p>
    <w:p w:rsidR="00246FCC" w:rsidRDefault="00246FCC" w:rsidP="00936EF1">
      <w:pPr>
        <w:tabs>
          <w:tab w:val="left" w:pos="5100"/>
        </w:tabs>
        <w:jc w:val="both"/>
        <w:rPr>
          <w:rFonts w:ascii="Verdana" w:hAnsi="Verdana"/>
          <w:sz w:val="22"/>
          <w:szCs w:val="22"/>
        </w:rPr>
      </w:pPr>
    </w:p>
    <w:p w:rsidR="00640649" w:rsidRDefault="005C703F" w:rsidP="00936EF1">
      <w:pPr>
        <w:tabs>
          <w:tab w:val="left" w:pos="5100"/>
        </w:tabs>
        <w:jc w:val="both"/>
        <w:rPr>
          <w:rFonts w:ascii="Verdana" w:hAnsi="Verdana"/>
          <w:sz w:val="22"/>
          <w:szCs w:val="22"/>
        </w:rPr>
      </w:pPr>
      <w:r>
        <w:rPr>
          <w:rFonts w:ascii="Verdana" w:hAnsi="Verdana"/>
          <w:sz w:val="22"/>
          <w:szCs w:val="22"/>
        </w:rPr>
        <w:t>Consta en el expediente el acto de apertura en el cual se procede con la imputación de cargos, la intimación y demás sub</w:t>
      </w:r>
      <w:r w:rsidR="00640649">
        <w:rPr>
          <w:rFonts w:ascii="Verdana" w:hAnsi="Verdana"/>
          <w:sz w:val="22"/>
          <w:szCs w:val="22"/>
        </w:rPr>
        <w:t xml:space="preserve"> </w:t>
      </w:r>
      <w:r>
        <w:rPr>
          <w:rFonts w:ascii="Verdana" w:hAnsi="Verdana"/>
          <w:sz w:val="22"/>
          <w:szCs w:val="22"/>
        </w:rPr>
        <w:t>prin</w:t>
      </w:r>
      <w:r w:rsidR="00640649">
        <w:rPr>
          <w:rFonts w:ascii="Verdana" w:hAnsi="Verdana"/>
          <w:sz w:val="22"/>
          <w:szCs w:val="22"/>
        </w:rPr>
        <w:t>ci</w:t>
      </w:r>
      <w:r>
        <w:rPr>
          <w:rFonts w:ascii="Verdana" w:hAnsi="Verdana"/>
          <w:sz w:val="22"/>
          <w:szCs w:val="22"/>
        </w:rPr>
        <w:t>pios conformadores del debido Proceso</w:t>
      </w:r>
      <w:r w:rsidR="00640649">
        <w:rPr>
          <w:rFonts w:ascii="Verdana" w:hAnsi="Verdana"/>
          <w:sz w:val="22"/>
          <w:szCs w:val="22"/>
        </w:rPr>
        <w:t>, de igual forma se otorgó el derecho de defensa al recurrente realizándose la audiencia oral y privada como consta a folio 66 del expediente.</w:t>
      </w:r>
    </w:p>
    <w:p w:rsidR="00640649" w:rsidRDefault="00640649" w:rsidP="00936EF1">
      <w:pPr>
        <w:tabs>
          <w:tab w:val="left" w:pos="5100"/>
        </w:tabs>
        <w:jc w:val="both"/>
        <w:rPr>
          <w:rFonts w:ascii="Verdana" w:hAnsi="Verdana"/>
          <w:sz w:val="22"/>
          <w:szCs w:val="22"/>
        </w:rPr>
      </w:pPr>
    </w:p>
    <w:p w:rsidR="0076553A" w:rsidRDefault="00F23A62" w:rsidP="00936EF1">
      <w:pPr>
        <w:tabs>
          <w:tab w:val="left" w:pos="5100"/>
        </w:tabs>
        <w:jc w:val="both"/>
        <w:rPr>
          <w:rFonts w:ascii="Verdana" w:hAnsi="Verdana"/>
          <w:sz w:val="22"/>
          <w:szCs w:val="22"/>
        </w:rPr>
      </w:pPr>
      <w:r>
        <w:rPr>
          <w:rFonts w:ascii="Verdana" w:hAnsi="Verdana"/>
          <w:sz w:val="22"/>
          <w:szCs w:val="22"/>
        </w:rPr>
        <w:t xml:space="preserve">Ahora </w:t>
      </w:r>
      <w:r w:rsidR="00D13539">
        <w:rPr>
          <w:rFonts w:ascii="Verdana" w:hAnsi="Verdana"/>
          <w:sz w:val="22"/>
          <w:szCs w:val="22"/>
        </w:rPr>
        <w:t>bien,</w:t>
      </w:r>
      <w:r>
        <w:rPr>
          <w:rFonts w:ascii="Verdana" w:hAnsi="Verdana"/>
          <w:sz w:val="22"/>
          <w:szCs w:val="22"/>
        </w:rPr>
        <w:t xml:space="preserve"> en cuant</w:t>
      </w:r>
      <w:r w:rsidR="00640649">
        <w:rPr>
          <w:rFonts w:ascii="Verdana" w:hAnsi="Verdana"/>
          <w:sz w:val="22"/>
          <w:szCs w:val="22"/>
        </w:rPr>
        <w:t xml:space="preserve">o a los hechos atribuidos al recurrente y </w:t>
      </w:r>
      <w:r w:rsidR="0076553A">
        <w:rPr>
          <w:rFonts w:ascii="Verdana" w:hAnsi="Verdana"/>
          <w:sz w:val="22"/>
          <w:szCs w:val="22"/>
        </w:rPr>
        <w:t>que a la postre son los que desembocan en la cancelación de la concesión, es importante apuntar lo siguiente.</w:t>
      </w:r>
    </w:p>
    <w:p w:rsidR="0076553A" w:rsidRDefault="0076553A" w:rsidP="00936EF1">
      <w:pPr>
        <w:tabs>
          <w:tab w:val="left" w:pos="5100"/>
        </w:tabs>
        <w:jc w:val="both"/>
        <w:rPr>
          <w:rFonts w:ascii="Verdana" w:hAnsi="Verdana"/>
          <w:sz w:val="22"/>
          <w:szCs w:val="22"/>
        </w:rPr>
      </w:pPr>
    </w:p>
    <w:p w:rsidR="0076553A" w:rsidRDefault="0076553A" w:rsidP="00936EF1">
      <w:pPr>
        <w:tabs>
          <w:tab w:val="left" w:pos="5100"/>
        </w:tabs>
        <w:jc w:val="both"/>
        <w:rPr>
          <w:rFonts w:ascii="Verdana" w:hAnsi="Verdana"/>
          <w:sz w:val="22"/>
          <w:szCs w:val="22"/>
        </w:rPr>
      </w:pPr>
      <w:r>
        <w:rPr>
          <w:rFonts w:ascii="Verdana" w:hAnsi="Verdana"/>
          <w:sz w:val="22"/>
          <w:szCs w:val="22"/>
        </w:rPr>
        <w:t xml:space="preserve">A quedado demostrado fehacientemente que el vehículo que amparaba la concesión de la placa </w:t>
      </w:r>
      <w:r w:rsidR="00B4497B">
        <w:rPr>
          <w:rFonts w:ascii="Verdana" w:hAnsi="Verdana"/>
          <w:sz w:val="22"/>
          <w:szCs w:val="22"/>
        </w:rPr>
        <w:t>XXX</w:t>
      </w:r>
      <w:r w:rsidR="00246FCC">
        <w:rPr>
          <w:rFonts w:ascii="Verdana" w:hAnsi="Verdana"/>
          <w:sz w:val="22"/>
          <w:szCs w:val="22"/>
        </w:rPr>
        <w:t>, quedó</w:t>
      </w:r>
      <w:r>
        <w:rPr>
          <w:rFonts w:ascii="Verdana" w:hAnsi="Verdana"/>
          <w:sz w:val="22"/>
          <w:szCs w:val="22"/>
        </w:rPr>
        <w:t xml:space="preserve"> sin </w:t>
      </w:r>
      <w:r w:rsidR="00246FCC">
        <w:rPr>
          <w:rFonts w:ascii="Verdana" w:hAnsi="Verdana"/>
          <w:sz w:val="22"/>
          <w:szCs w:val="22"/>
        </w:rPr>
        <w:t>cobertura de</w:t>
      </w:r>
      <w:r>
        <w:rPr>
          <w:rFonts w:ascii="Verdana" w:hAnsi="Verdana"/>
          <w:sz w:val="22"/>
          <w:szCs w:val="22"/>
        </w:rPr>
        <w:t xml:space="preserve"> la respectiva póliza del INS desde el 28 de mayo de 2015 y hasta que fue autorizado su cambio el 10 de noviembre del mismo año.</w:t>
      </w:r>
    </w:p>
    <w:p w:rsidR="0076553A" w:rsidRDefault="0076553A" w:rsidP="00936EF1">
      <w:pPr>
        <w:tabs>
          <w:tab w:val="left" w:pos="5100"/>
        </w:tabs>
        <w:jc w:val="both"/>
        <w:rPr>
          <w:rFonts w:ascii="Verdana" w:hAnsi="Verdana"/>
          <w:sz w:val="22"/>
          <w:szCs w:val="22"/>
        </w:rPr>
      </w:pPr>
    </w:p>
    <w:p w:rsidR="00936EF1" w:rsidRDefault="00FC4A7B" w:rsidP="00936EF1">
      <w:pPr>
        <w:tabs>
          <w:tab w:val="left" w:pos="5100"/>
        </w:tabs>
        <w:jc w:val="both"/>
        <w:rPr>
          <w:rFonts w:ascii="Verdana" w:hAnsi="Verdana"/>
          <w:sz w:val="22"/>
          <w:szCs w:val="22"/>
        </w:rPr>
      </w:pPr>
      <w:r>
        <w:rPr>
          <w:rFonts w:ascii="Verdana" w:hAnsi="Verdana"/>
          <w:sz w:val="22"/>
          <w:szCs w:val="22"/>
        </w:rPr>
        <w:t xml:space="preserve">No </w:t>
      </w:r>
      <w:r w:rsidR="00246FCC">
        <w:rPr>
          <w:rFonts w:ascii="Verdana" w:hAnsi="Verdana"/>
          <w:sz w:val="22"/>
          <w:szCs w:val="22"/>
        </w:rPr>
        <w:t>obstante, los</w:t>
      </w:r>
      <w:r w:rsidR="0076553A">
        <w:rPr>
          <w:rFonts w:ascii="Verdana" w:hAnsi="Verdana"/>
          <w:sz w:val="22"/>
          <w:szCs w:val="22"/>
        </w:rPr>
        <w:t xml:space="preserve"> argumentos presentados por el recurrente en el sentido de que todo se debió a una serie de hechos concatenados</w:t>
      </w:r>
      <w:r w:rsidR="00936EF1" w:rsidRPr="00936EF1">
        <w:rPr>
          <w:rFonts w:ascii="Verdana" w:hAnsi="Verdana"/>
          <w:sz w:val="22"/>
          <w:szCs w:val="22"/>
        </w:rPr>
        <w:tab/>
      </w:r>
      <w:r>
        <w:rPr>
          <w:rFonts w:ascii="Verdana" w:hAnsi="Verdana"/>
          <w:sz w:val="22"/>
          <w:szCs w:val="22"/>
        </w:rPr>
        <w:t>que no fueron achacables a él y que a la p</w:t>
      </w:r>
      <w:r w:rsidR="007D21AF">
        <w:rPr>
          <w:rFonts w:ascii="Verdana" w:hAnsi="Verdana"/>
          <w:sz w:val="22"/>
          <w:szCs w:val="22"/>
        </w:rPr>
        <w:t>ostre no le permitieron cumplir</w:t>
      </w:r>
      <w:r>
        <w:rPr>
          <w:rFonts w:ascii="Verdana" w:hAnsi="Verdana"/>
          <w:sz w:val="22"/>
          <w:szCs w:val="22"/>
        </w:rPr>
        <w:t xml:space="preserve">, este Tribunal </w:t>
      </w:r>
      <w:r w:rsidR="00DB1026">
        <w:rPr>
          <w:rFonts w:ascii="Verdana" w:hAnsi="Verdana"/>
          <w:sz w:val="22"/>
          <w:szCs w:val="22"/>
        </w:rPr>
        <w:t xml:space="preserve">pudo apreciar que en el expediente no consta </w:t>
      </w:r>
      <w:r w:rsidR="00246FCC">
        <w:rPr>
          <w:rFonts w:ascii="Verdana" w:hAnsi="Verdana"/>
          <w:sz w:val="22"/>
          <w:szCs w:val="22"/>
        </w:rPr>
        <w:t>ningún documento</w:t>
      </w:r>
      <w:r w:rsidR="00DB1026">
        <w:rPr>
          <w:rFonts w:ascii="Verdana" w:hAnsi="Verdana"/>
          <w:sz w:val="22"/>
          <w:szCs w:val="22"/>
        </w:rPr>
        <w:t xml:space="preserve"> donde el recurrente alertara antes del advenimiento del vencimiento de la Revisión Técnica del Vehícul</w:t>
      </w:r>
      <w:r w:rsidR="007D21AF">
        <w:rPr>
          <w:rFonts w:ascii="Verdana" w:hAnsi="Verdana"/>
          <w:sz w:val="22"/>
          <w:szCs w:val="22"/>
        </w:rPr>
        <w:t>o en mayo de 2015, al Consejo de Transporte Público del problema que tenía.</w:t>
      </w:r>
    </w:p>
    <w:p w:rsidR="007D21AF" w:rsidRDefault="007D21AF" w:rsidP="00936EF1">
      <w:pPr>
        <w:tabs>
          <w:tab w:val="left" w:pos="5100"/>
        </w:tabs>
        <w:jc w:val="both"/>
        <w:rPr>
          <w:rFonts w:ascii="Verdana" w:hAnsi="Verdana"/>
          <w:sz w:val="22"/>
          <w:szCs w:val="22"/>
        </w:rPr>
      </w:pPr>
    </w:p>
    <w:p w:rsidR="007D21AF" w:rsidRDefault="007D21AF" w:rsidP="00936EF1">
      <w:pPr>
        <w:tabs>
          <w:tab w:val="left" w:pos="5100"/>
        </w:tabs>
        <w:jc w:val="both"/>
        <w:rPr>
          <w:rFonts w:ascii="Verdana" w:hAnsi="Verdana"/>
          <w:sz w:val="22"/>
          <w:szCs w:val="22"/>
        </w:rPr>
      </w:pPr>
      <w:r>
        <w:rPr>
          <w:rFonts w:ascii="Verdana" w:hAnsi="Verdana"/>
          <w:sz w:val="22"/>
          <w:szCs w:val="22"/>
        </w:rPr>
        <w:t xml:space="preserve">Otro aspecto es </w:t>
      </w:r>
      <w:r w:rsidR="00246FCC">
        <w:rPr>
          <w:rFonts w:ascii="Verdana" w:hAnsi="Verdana"/>
          <w:sz w:val="22"/>
          <w:szCs w:val="22"/>
        </w:rPr>
        <w:t>que,</w:t>
      </w:r>
      <w:r>
        <w:rPr>
          <w:rFonts w:ascii="Verdana" w:hAnsi="Verdana"/>
          <w:sz w:val="22"/>
          <w:szCs w:val="22"/>
        </w:rPr>
        <w:t xml:space="preserve"> contando con suficiente tiempo para haber cambiado el vehículo</w:t>
      </w:r>
      <w:r w:rsidR="00F8323C">
        <w:rPr>
          <w:rFonts w:ascii="Verdana" w:hAnsi="Verdana"/>
          <w:sz w:val="22"/>
          <w:szCs w:val="22"/>
        </w:rPr>
        <w:t>,</w:t>
      </w:r>
      <w:r>
        <w:rPr>
          <w:rFonts w:ascii="Verdana" w:hAnsi="Verdana"/>
          <w:sz w:val="22"/>
          <w:szCs w:val="22"/>
        </w:rPr>
        <w:t xml:space="preserve"> dado que al que operaba la concesión se le vencía su vida útil</w:t>
      </w:r>
      <w:r w:rsidR="00F8323C">
        <w:rPr>
          <w:rFonts w:ascii="Verdana" w:hAnsi="Verdana"/>
          <w:sz w:val="22"/>
          <w:szCs w:val="22"/>
        </w:rPr>
        <w:t xml:space="preserve">, no se constató de las piezas del expediente que hiciera el recurrente </w:t>
      </w:r>
      <w:r w:rsidR="00246FCC">
        <w:rPr>
          <w:rFonts w:ascii="Verdana" w:hAnsi="Verdana"/>
          <w:sz w:val="22"/>
          <w:szCs w:val="22"/>
        </w:rPr>
        <w:t>trámite</w:t>
      </w:r>
      <w:r w:rsidR="00C90314">
        <w:rPr>
          <w:rFonts w:ascii="Verdana" w:hAnsi="Verdana"/>
          <w:sz w:val="22"/>
          <w:szCs w:val="22"/>
        </w:rPr>
        <w:t xml:space="preserve"> alguno o informara al Consejo de</w:t>
      </w:r>
      <w:r w:rsidR="00246FCC">
        <w:rPr>
          <w:rFonts w:ascii="Verdana" w:hAnsi="Verdana"/>
          <w:sz w:val="22"/>
          <w:szCs w:val="22"/>
        </w:rPr>
        <w:t xml:space="preserve"> la situación</w:t>
      </w:r>
      <w:r w:rsidR="00D363F3">
        <w:rPr>
          <w:rFonts w:ascii="Verdana" w:hAnsi="Verdana"/>
          <w:sz w:val="22"/>
          <w:szCs w:val="22"/>
        </w:rPr>
        <w:t xml:space="preserve"> de los problemas</w:t>
      </w:r>
      <w:r w:rsidR="00C90314">
        <w:rPr>
          <w:rFonts w:ascii="Verdana" w:hAnsi="Verdana"/>
          <w:sz w:val="22"/>
          <w:szCs w:val="22"/>
        </w:rPr>
        <w:t xml:space="preserve"> que estuviera teniendo.</w:t>
      </w:r>
    </w:p>
    <w:p w:rsidR="00C90314" w:rsidRDefault="00C90314" w:rsidP="00936EF1">
      <w:pPr>
        <w:tabs>
          <w:tab w:val="left" w:pos="5100"/>
        </w:tabs>
        <w:jc w:val="both"/>
        <w:rPr>
          <w:rFonts w:ascii="Verdana" w:hAnsi="Verdana"/>
          <w:sz w:val="22"/>
          <w:szCs w:val="22"/>
        </w:rPr>
      </w:pPr>
    </w:p>
    <w:p w:rsidR="00C90314" w:rsidRDefault="00C90314" w:rsidP="00936EF1">
      <w:pPr>
        <w:tabs>
          <w:tab w:val="left" w:pos="5100"/>
        </w:tabs>
        <w:jc w:val="both"/>
        <w:rPr>
          <w:rFonts w:ascii="Verdana" w:hAnsi="Verdana"/>
          <w:sz w:val="22"/>
          <w:szCs w:val="22"/>
          <w:lang w:val="es-MX"/>
        </w:rPr>
      </w:pPr>
      <w:r>
        <w:rPr>
          <w:rFonts w:ascii="Verdana" w:hAnsi="Verdana"/>
          <w:sz w:val="22"/>
          <w:szCs w:val="22"/>
        </w:rPr>
        <w:t xml:space="preserve">En la especie se pudo verificar fehacientemente </w:t>
      </w:r>
      <w:r w:rsidR="000B7642">
        <w:rPr>
          <w:rFonts w:ascii="Verdana" w:hAnsi="Verdana"/>
          <w:sz w:val="22"/>
          <w:szCs w:val="22"/>
        </w:rPr>
        <w:t xml:space="preserve"> es que el nuevo vehículo desde el mes de junio del 2015 al menos, ya había sido adquirido por el recurrente</w:t>
      </w:r>
      <w:r w:rsidR="00C00B23">
        <w:rPr>
          <w:rFonts w:ascii="Verdana" w:hAnsi="Verdana"/>
          <w:sz w:val="22"/>
          <w:szCs w:val="22"/>
        </w:rPr>
        <w:t xml:space="preserve"> según constancia de póliza extendida por el INS y que consta a folio 70 del expediente, sin embarg</w:t>
      </w:r>
      <w:r w:rsidR="00D363F3">
        <w:rPr>
          <w:rFonts w:ascii="Verdana" w:hAnsi="Verdana"/>
          <w:sz w:val="22"/>
          <w:szCs w:val="22"/>
        </w:rPr>
        <w:t>o, quedo demostrado que presentó</w:t>
      </w:r>
      <w:r w:rsidR="00C00B23">
        <w:rPr>
          <w:rFonts w:ascii="Verdana" w:hAnsi="Verdana"/>
          <w:sz w:val="22"/>
          <w:szCs w:val="22"/>
        </w:rPr>
        <w:t xml:space="preserve"> hasta </w:t>
      </w:r>
      <w:r w:rsidR="001330ED">
        <w:rPr>
          <w:rFonts w:ascii="Verdana" w:hAnsi="Verdana"/>
          <w:sz w:val="22"/>
          <w:szCs w:val="22"/>
        </w:rPr>
        <w:t xml:space="preserve">el mes de octubre la solicitud de cambio de unidad, </w:t>
      </w:r>
      <w:r w:rsidR="00233551">
        <w:rPr>
          <w:rFonts w:ascii="Verdana" w:hAnsi="Verdana"/>
          <w:sz w:val="22"/>
          <w:szCs w:val="22"/>
        </w:rPr>
        <w:t>según lo</w:t>
      </w:r>
      <w:r w:rsidR="00233551" w:rsidRPr="00233551">
        <w:rPr>
          <w:rFonts w:ascii="Verdana" w:hAnsi="Verdana"/>
          <w:sz w:val="22"/>
          <w:szCs w:val="22"/>
          <w:lang w:val="es-MX"/>
        </w:rPr>
        <w:t xml:space="preserve"> </w:t>
      </w:r>
      <w:r w:rsidR="00233551">
        <w:rPr>
          <w:rFonts w:ascii="Verdana" w:hAnsi="Verdana"/>
          <w:sz w:val="22"/>
          <w:szCs w:val="22"/>
          <w:lang w:val="es-MX"/>
        </w:rPr>
        <w:t>indicado por la Dirección de Asuntos Jurídicos del CTP en su informe 2016-000402 de 8 de febrero de 2016 y visible a folio 4 del expediente y reafirmado por el mismo recurrente en el punto g) de su libelo.</w:t>
      </w:r>
    </w:p>
    <w:p w:rsidR="00233551" w:rsidRDefault="00233551" w:rsidP="00936EF1">
      <w:pPr>
        <w:tabs>
          <w:tab w:val="left" w:pos="5100"/>
        </w:tabs>
        <w:jc w:val="both"/>
        <w:rPr>
          <w:rFonts w:ascii="Verdana" w:hAnsi="Verdana"/>
          <w:sz w:val="22"/>
          <w:szCs w:val="22"/>
          <w:lang w:val="es-MX"/>
        </w:rPr>
      </w:pPr>
    </w:p>
    <w:p w:rsidR="008C0A8B" w:rsidRDefault="00681E53" w:rsidP="00D363F3">
      <w:pPr>
        <w:tabs>
          <w:tab w:val="left" w:pos="5100"/>
        </w:tabs>
        <w:jc w:val="both"/>
        <w:rPr>
          <w:rFonts w:ascii="Verdana" w:hAnsi="Verdana"/>
          <w:sz w:val="22"/>
          <w:szCs w:val="22"/>
        </w:rPr>
      </w:pPr>
      <w:r>
        <w:rPr>
          <w:rFonts w:ascii="Verdana" w:hAnsi="Verdana"/>
          <w:sz w:val="22"/>
          <w:szCs w:val="22"/>
        </w:rPr>
        <w:t>Es importante</w:t>
      </w:r>
      <w:r w:rsidR="00D363F3">
        <w:rPr>
          <w:rFonts w:ascii="Verdana" w:hAnsi="Verdana"/>
          <w:sz w:val="22"/>
          <w:szCs w:val="22"/>
        </w:rPr>
        <w:t xml:space="preserve"> y debe</w:t>
      </w:r>
      <w:r w:rsidR="00D91D1B">
        <w:rPr>
          <w:rFonts w:ascii="Verdana" w:hAnsi="Verdana"/>
          <w:sz w:val="22"/>
          <w:szCs w:val="22"/>
        </w:rPr>
        <w:t xml:space="preserve"> quedar claro y aquí nos referimos al principio de falta de motivación </w:t>
      </w:r>
      <w:r w:rsidR="00D363F3">
        <w:rPr>
          <w:rFonts w:ascii="Verdana" w:hAnsi="Verdana"/>
          <w:sz w:val="22"/>
          <w:szCs w:val="22"/>
        </w:rPr>
        <w:t xml:space="preserve">y </w:t>
      </w:r>
      <w:r w:rsidR="00D91D1B">
        <w:rPr>
          <w:rFonts w:ascii="Verdana" w:hAnsi="Verdana"/>
          <w:sz w:val="22"/>
          <w:szCs w:val="22"/>
        </w:rPr>
        <w:t xml:space="preserve">violación al principio de proporcionalidad </w:t>
      </w:r>
      <w:r>
        <w:rPr>
          <w:rFonts w:ascii="Verdana" w:hAnsi="Verdana"/>
          <w:sz w:val="22"/>
          <w:szCs w:val="22"/>
        </w:rPr>
        <w:t xml:space="preserve">que </w:t>
      </w:r>
      <w:r w:rsidR="00D363F3">
        <w:rPr>
          <w:rFonts w:ascii="Verdana" w:hAnsi="Verdana"/>
          <w:sz w:val="22"/>
          <w:szCs w:val="22"/>
        </w:rPr>
        <w:t xml:space="preserve">alega </w:t>
      </w:r>
      <w:r>
        <w:rPr>
          <w:rFonts w:ascii="Verdana" w:hAnsi="Verdana"/>
          <w:sz w:val="22"/>
          <w:szCs w:val="22"/>
        </w:rPr>
        <w:t xml:space="preserve">el recurrente, </w:t>
      </w:r>
      <w:r w:rsidR="00D363F3">
        <w:rPr>
          <w:rFonts w:ascii="Verdana" w:hAnsi="Verdana"/>
          <w:sz w:val="22"/>
          <w:szCs w:val="22"/>
        </w:rPr>
        <w:t>que n</w:t>
      </w:r>
      <w:r w:rsidR="008C0A8B">
        <w:rPr>
          <w:rFonts w:ascii="Verdana" w:hAnsi="Verdana"/>
          <w:sz w:val="22"/>
          <w:szCs w:val="22"/>
        </w:rPr>
        <w:t>o son de recibo los argumentos del recurrente, pues</w:t>
      </w:r>
      <w:r w:rsidR="00D363F3">
        <w:rPr>
          <w:rFonts w:ascii="Verdana" w:hAnsi="Verdana"/>
        </w:rPr>
        <w:t xml:space="preserve"> la decisión adoptada por la Administración ha tenido fundamentos claros de hecho y de derecho los cuales han sido establecidos y  señalados al recurrente,  porque </w:t>
      </w:r>
      <w:r w:rsidR="008C0A8B">
        <w:rPr>
          <w:rFonts w:ascii="Verdana" w:hAnsi="Verdana"/>
          <w:sz w:val="22"/>
          <w:szCs w:val="22"/>
        </w:rPr>
        <w:t>constituye una obligación esencial e inherente a la explotación y utilización de una placa de taxi, el mantener al día las pólizas de seguros respectivas que brinden protección a las personas y a sus bienes.</w:t>
      </w:r>
    </w:p>
    <w:p w:rsidR="008C0A8B" w:rsidRPr="00516D92" w:rsidRDefault="00D363F3" w:rsidP="008C0A8B">
      <w:pPr>
        <w:jc w:val="both"/>
        <w:rPr>
          <w:rFonts w:ascii="Verdana" w:hAnsi="Verdana"/>
        </w:rPr>
      </w:pPr>
      <w:r>
        <w:rPr>
          <w:rFonts w:ascii="Verdana" w:hAnsi="Verdana"/>
        </w:rPr>
        <w:t xml:space="preserve"> </w:t>
      </w:r>
    </w:p>
    <w:p w:rsidR="008C0A8B" w:rsidRPr="00884746" w:rsidRDefault="008C0A8B" w:rsidP="008C0A8B">
      <w:pPr>
        <w:jc w:val="both"/>
        <w:rPr>
          <w:rFonts w:ascii="Verdana" w:hAnsi="Verdana"/>
          <w:sz w:val="22"/>
          <w:szCs w:val="22"/>
        </w:rPr>
      </w:pPr>
      <w:r w:rsidRPr="00884746">
        <w:rPr>
          <w:rFonts w:ascii="Verdana" w:hAnsi="Verdana"/>
          <w:sz w:val="22"/>
          <w:szCs w:val="22"/>
        </w:rPr>
        <w:t>Por lo anterior y dado que se ha presentado un incumplimiento esencial para la concesión del taxi, no queda más que rechazar el Recurso de apelación presentado.</w:t>
      </w:r>
    </w:p>
    <w:p w:rsidR="008C0A8B" w:rsidRPr="00884746" w:rsidRDefault="008C0A8B" w:rsidP="008C0A8B">
      <w:pPr>
        <w:jc w:val="center"/>
        <w:rPr>
          <w:rFonts w:ascii="Verdana" w:hAnsi="Verdana"/>
          <w:b/>
          <w:sz w:val="22"/>
          <w:szCs w:val="22"/>
        </w:rPr>
      </w:pPr>
    </w:p>
    <w:p w:rsidR="008C0A8B" w:rsidRDefault="008C0A8B" w:rsidP="008C0A8B">
      <w:pPr>
        <w:jc w:val="center"/>
        <w:rPr>
          <w:rFonts w:ascii="Verdana" w:hAnsi="Verdana"/>
          <w:b/>
          <w:sz w:val="22"/>
          <w:szCs w:val="22"/>
        </w:rPr>
      </w:pPr>
    </w:p>
    <w:p w:rsidR="00B4497B" w:rsidRDefault="00B4497B" w:rsidP="008C0A8B">
      <w:pPr>
        <w:jc w:val="center"/>
        <w:rPr>
          <w:rFonts w:ascii="Verdana" w:hAnsi="Verdana"/>
          <w:b/>
          <w:sz w:val="22"/>
          <w:szCs w:val="22"/>
        </w:rPr>
      </w:pPr>
    </w:p>
    <w:p w:rsidR="00B4497B" w:rsidRDefault="00B4497B" w:rsidP="008C0A8B">
      <w:pPr>
        <w:jc w:val="center"/>
        <w:rPr>
          <w:rFonts w:ascii="Verdana" w:hAnsi="Verdana"/>
          <w:b/>
          <w:sz w:val="22"/>
          <w:szCs w:val="22"/>
        </w:rPr>
      </w:pPr>
    </w:p>
    <w:p w:rsidR="00B4497B" w:rsidRDefault="00B4497B" w:rsidP="008C0A8B">
      <w:pPr>
        <w:jc w:val="center"/>
        <w:rPr>
          <w:rFonts w:ascii="Verdana" w:hAnsi="Verdana"/>
          <w:b/>
          <w:sz w:val="22"/>
          <w:szCs w:val="22"/>
        </w:rPr>
      </w:pPr>
    </w:p>
    <w:p w:rsidR="00B4497B" w:rsidRDefault="00B4497B" w:rsidP="008C0A8B">
      <w:pPr>
        <w:jc w:val="center"/>
        <w:rPr>
          <w:rFonts w:ascii="Verdana" w:hAnsi="Verdana"/>
          <w:b/>
          <w:sz w:val="22"/>
          <w:szCs w:val="22"/>
        </w:rPr>
      </w:pPr>
    </w:p>
    <w:p w:rsidR="008C0A8B" w:rsidRPr="00884746" w:rsidRDefault="008C0A8B" w:rsidP="008C0A8B">
      <w:pPr>
        <w:jc w:val="center"/>
        <w:rPr>
          <w:rFonts w:ascii="Verdana" w:hAnsi="Verdana"/>
          <w:b/>
          <w:sz w:val="22"/>
          <w:szCs w:val="22"/>
        </w:rPr>
      </w:pPr>
      <w:r>
        <w:rPr>
          <w:rFonts w:ascii="Verdana" w:hAnsi="Verdana"/>
          <w:b/>
          <w:sz w:val="22"/>
          <w:szCs w:val="22"/>
        </w:rPr>
        <w:lastRenderedPageBreak/>
        <w:t xml:space="preserve"> POR TANTO</w:t>
      </w:r>
    </w:p>
    <w:p w:rsidR="008C0A8B" w:rsidRPr="00884746" w:rsidRDefault="008C0A8B" w:rsidP="008C0A8B">
      <w:pPr>
        <w:jc w:val="center"/>
        <w:rPr>
          <w:rFonts w:ascii="Verdana" w:hAnsi="Verdana"/>
          <w:b/>
          <w:sz w:val="22"/>
          <w:szCs w:val="22"/>
        </w:rPr>
      </w:pPr>
    </w:p>
    <w:p w:rsidR="008C0A8B" w:rsidRDefault="008C0A8B" w:rsidP="008C0A8B">
      <w:pPr>
        <w:jc w:val="both"/>
        <w:rPr>
          <w:rFonts w:ascii="Verdana" w:hAnsi="Verdana"/>
          <w:b/>
          <w:sz w:val="22"/>
          <w:szCs w:val="22"/>
        </w:rPr>
      </w:pPr>
      <w:r>
        <w:rPr>
          <w:rFonts w:ascii="Verdana" w:hAnsi="Verdana"/>
          <w:b/>
          <w:sz w:val="22"/>
          <w:szCs w:val="22"/>
        </w:rPr>
        <w:t xml:space="preserve">   </w:t>
      </w:r>
    </w:p>
    <w:p w:rsidR="008C0A8B" w:rsidRPr="00884746" w:rsidRDefault="008C0A8B" w:rsidP="008C0A8B">
      <w:pPr>
        <w:jc w:val="both"/>
        <w:rPr>
          <w:rFonts w:ascii="Verdana" w:hAnsi="Verdana"/>
          <w:smallCaps/>
          <w:sz w:val="22"/>
          <w:szCs w:val="22"/>
        </w:rPr>
      </w:pPr>
      <w:r w:rsidRPr="00884746">
        <w:rPr>
          <w:rFonts w:ascii="Verdana" w:hAnsi="Verdana"/>
          <w:b/>
          <w:sz w:val="22"/>
          <w:szCs w:val="22"/>
        </w:rPr>
        <w:t xml:space="preserve">I.-  </w:t>
      </w:r>
      <w:r w:rsidRPr="00884746">
        <w:rPr>
          <w:rFonts w:ascii="Verdana" w:hAnsi="Verdana"/>
          <w:sz w:val="22"/>
          <w:szCs w:val="22"/>
        </w:rPr>
        <w:t xml:space="preserve">Se declara sin lugar el </w:t>
      </w:r>
      <w:r w:rsidR="006C7353" w:rsidRPr="008C0A8B">
        <w:rPr>
          <w:rFonts w:ascii="Verdana" w:hAnsi="Verdana"/>
          <w:b/>
          <w:smallCaps/>
          <w:sz w:val="22"/>
          <w:szCs w:val="22"/>
        </w:rPr>
        <w:t>Recurso de Apelación En Subsidio y Nulidad concomitante</w:t>
      </w:r>
      <w:r w:rsidR="006C7353" w:rsidRPr="00884746">
        <w:rPr>
          <w:rFonts w:ascii="Verdana" w:hAnsi="Verdana"/>
          <w:smallCaps/>
          <w:sz w:val="22"/>
          <w:szCs w:val="22"/>
        </w:rPr>
        <w:t xml:space="preserve">, </w:t>
      </w:r>
      <w:r w:rsidR="006C7353" w:rsidRPr="00884746">
        <w:rPr>
          <w:rFonts w:ascii="Verdana" w:hAnsi="Verdana"/>
          <w:sz w:val="22"/>
          <w:szCs w:val="22"/>
        </w:rPr>
        <w:t xml:space="preserve">interpuesto por el señor </w:t>
      </w:r>
      <w:r w:rsidR="00B4497B">
        <w:rPr>
          <w:rFonts w:ascii="Verdana" w:hAnsi="Verdana"/>
          <w:b/>
          <w:smallCaps/>
          <w:sz w:val="22"/>
          <w:szCs w:val="22"/>
        </w:rPr>
        <w:t>J.S.J.</w:t>
      </w:r>
      <w:r w:rsidR="00DB3FE1" w:rsidRPr="00884746">
        <w:rPr>
          <w:rFonts w:ascii="Verdana" w:hAnsi="Verdana"/>
          <w:sz w:val="22"/>
          <w:szCs w:val="22"/>
        </w:rPr>
        <w:t>, en</w:t>
      </w:r>
      <w:r w:rsidR="006C7353" w:rsidRPr="00884746">
        <w:rPr>
          <w:rFonts w:ascii="Verdana" w:hAnsi="Verdana"/>
          <w:sz w:val="22"/>
          <w:szCs w:val="22"/>
        </w:rPr>
        <w:t xml:space="preserve"> su condición de concesionario </w:t>
      </w:r>
      <w:r w:rsidR="00DB3FE1" w:rsidRPr="00884746">
        <w:rPr>
          <w:rFonts w:ascii="Verdana" w:hAnsi="Verdana"/>
          <w:sz w:val="22"/>
          <w:szCs w:val="22"/>
        </w:rPr>
        <w:t>de la</w:t>
      </w:r>
      <w:r w:rsidR="006C7353" w:rsidRPr="00884746">
        <w:rPr>
          <w:rFonts w:ascii="Verdana" w:hAnsi="Verdana"/>
          <w:sz w:val="22"/>
          <w:szCs w:val="22"/>
        </w:rPr>
        <w:t xml:space="preserve"> placa de </w:t>
      </w:r>
      <w:r w:rsidR="00DB3FE1" w:rsidRPr="00884746">
        <w:rPr>
          <w:rFonts w:ascii="Verdana" w:hAnsi="Verdana"/>
          <w:sz w:val="22"/>
          <w:szCs w:val="22"/>
        </w:rPr>
        <w:t>taxi</w:t>
      </w:r>
      <w:r w:rsidR="00DB3FE1" w:rsidRPr="00884746">
        <w:rPr>
          <w:rFonts w:ascii="Verdana" w:hAnsi="Verdana"/>
          <w:smallCaps/>
          <w:sz w:val="22"/>
          <w:szCs w:val="22"/>
        </w:rPr>
        <w:t xml:space="preserve"> </w:t>
      </w:r>
      <w:r w:rsidR="00B4497B">
        <w:rPr>
          <w:rFonts w:ascii="Verdana" w:hAnsi="Verdana"/>
          <w:smallCaps/>
          <w:sz w:val="22"/>
          <w:szCs w:val="22"/>
        </w:rPr>
        <w:t>XXX</w:t>
      </w:r>
      <w:r w:rsidR="006C7353" w:rsidRPr="00884746">
        <w:rPr>
          <w:rFonts w:ascii="Verdana" w:hAnsi="Verdana"/>
          <w:smallCaps/>
          <w:sz w:val="22"/>
          <w:szCs w:val="22"/>
        </w:rPr>
        <w:t xml:space="preserve">, </w:t>
      </w:r>
      <w:r w:rsidR="006C7353" w:rsidRPr="00884746">
        <w:rPr>
          <w:rFonts w:ascii="Verdana" w:hAnsi="Verdana"/>
          <w:sz w:val="22"/>
          <w:szCs w:val="22"/>
        </w:rPr>
        <w:t>contra</w:t>
      </w:r>
      <w:r w:rsidR="006C7353" w:rsidRPr="00884746">
        <w:rPr>
          <w:rFonts w:ascii="Verdana" w:hAnsi="Verdana"/>
          <w:b/>
          <w:sz w:val="22"/>
          <w:szCs w:val="22"/>
        </w:rPr>
        <w:t xml:space="preserve"> </w:t>
      </w:r>
      <w:r w:rsidR="006C7353" w:rsidRPr="00884746">
        <w:rPr>
          <w:rFonts w:ascii="Verdana" w:hAnsi="Verdana"/>
          <w:sz w:val="22"/>
          <w:szCs w:val="22"/>
        </w:rPr>
        <w:t xml:space="preserve">el </w:t>
      </w:r>
      <w:r w:rsidR="006C7353" w:rsidRPr="005B0F8B">
        <w:rPr>
          <w:rFonts w:ascii="Verdana" w:hAnsi="Verdana"/>
          <w:b/>
          <w:sz w:val="22"/>
          <w:szCs w:val="22"/>
        </w:rPr>
        <w:t xml:space="preserve">Artículo </w:t>
      </w:r>
      <w:r w:rsidR="00DB3FE1">
        <w:rPr>
          <w:rFonts w:ascii="Verdana" w:hAnsi="Verdana"/>
          <w:b/>
          <w:sz w:val="22"/>
          <w:szCs w:val="22"/>
        </w:rPr>
        <w:t>7.2.8</w:t>
      </w:r>
      <w:r w:rsidR="00DB3FE1" w:rsidRPr="005B0F8B">
        <w:rPr>
          <w:rFonts w:ascii="Verdana" w:hAnsi="Verdana"/>
          <w:b/>
          <w:sz w:val="22"/>
          <w:szCs w:val="22"/>
        </w:rPr>
        <w:t xml:space="preserve"> de</w:t>
      </w:r>
      <w:r w:rsidR="006C7353" w:rsidRPr="005B0F8B">
        <w:rPr>
          <w:rFonts w:ascii="Verdana" w:hAnsi="Verdana"/>
          <w:b/>
          <w:sz w:val="22"/>
          <w:szCs w:val="22"/>
        </w:rPr>
        <w:t xml:space="preserve"> la Sesión Ordinaria </w:t>
      </w:r>
      <w:r w:rsidR="006C7353">
        <w:rPr>
          <w:rFonts w:ascii="Verdana" w:hAnsi="Verdana"/>
          <w:b/>
          <w:sz w:val="22"/>
          <w:szCs w:val="22"/>
        </w:rPr>
        <w:t>61-2015 de 4 de noviembre de 2015</w:t>
      </w:r>
      <w:r w:rsidR="006C7353" w:rsidRPr="00884746">
        <w:rPr>
          <w:rFonts w:ascii="Verdana" w:hAnsi="Verdana"/>
          <w:sz w:val="22"/>
          <w:szCs w:val="22"/>
        </w:rPr>
        <w:t xml:space="preserve">, dictado por la </w:t>
      </w:r>
      <w:r w:rsidR="006C7353" w:rsidRPr="00884746">
        <w:rPr>
          <w:rFonts w:ascii="Verdana" w:hAnsi="Verdana"/>
          <w:smallCaps/>
          <w:sz w:val="22"/>
          <w:szCs w:val="22"/>
        </w:rPr>
        <w:t>Junta Directiva del Consejo de Transporte Público</w:t>
      </w:r>
      <w:r w:rsidR="006C7353">
        <w:rPr>
          <w:rFonts w:ascii="Verdana" w:hAnsi="Verdana"/>
          <w:smallCaps/>
          <w:sz w:val="22"/>
          <w:szCs w:val="22"/>
        </w:rPr>
        <w:t>.</w:t>
      </w:r>
    </w:p>
    <w:p w:rsidR="008C0A8B" w:rsidRPr="00884746" w:rsidRDefault="008C0A8B" w:rsidP="008C0A8B">
      <w:pPr>
        <w:jc w:val="both"/>
        <w:rPr>
          <w:rFonts w:ascii="Verdana" w:hAnsi="Verdana"/>
          <w:smallCaps/>
          <w:sz w:val="22"/>
          <w:szCs w:val="22"/>
        </w:rPr>
      </w:pPr>
    </w:p>
    <w:p w:rsidR="008C0A8B" w:rsidRPr="00884746" w:rsidRDefault="008C0A8B" w:rsidP="008C0A8B">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 xml:space="preserve">De conformidad con el artículo 22, inciso c), de la citada Ley 7969, la presente resolución no tiene ulterior recurso por lo </w:t>
      </w:r>
      <w:r w:rsidR="00DB3FE1" w:rsidRPr="00884746">
        <w:rPr>
          <w:rFonts w:ascii="Verdana" w:hAnsi="Verdana"/>
          <w:sz w:val="22"/>
          <w:szCs w:val="22"/>
        </w:rPr>
        <w:t>que</w:t>
      </w:r>
      <w:r w:rsidR="00DB3FE1" w:rsidRPr="00884746">
        <w:rPr>
          <w:rFonts w:ascii="Verdana" w:hAnsi="Verdana"/>
          <w:b/>
          <w:sz w:val="22"/>
          <w:szCs w:val="22"/>
        </w:rPr>
        <w:t>, se</w:t>
      </w:r>
      <w:r w:rsidRPr="00C17EFE">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884746">
        <w:rPr>
          <w:rFonts w:ascii="Verdana" w:hAnsi="Verdana"/>
          <w:sz w:val="22"/>
          <w:szCs w:val="22"/>
        </w:rPr>
        <w:t xml:space="preserve">. </w:t>
      </w:r>
      <w:r w:rsidR="00DB3FE1" w:rsidRPr="00884746">
        <w:rPr>
          <w:rFonts w:ascii="Verdana" w:hAnsi="Verdana"/>
          <w:b/>
          <w:sz w:val="22"/>
          <w:szCs w:val="22"/>
        </w:rPr>
        <w:t>NOTIFIQUESE. -</w:t>
      </w:r>
      <w:r w:rsidRPr="00884746">
        <w:rPr>
          <w:rFonts w:ascii="Verdana" w:hAnsi="Verdana"/>
          <w:b/>
          <w:sz w:val="22"/>
          <w:szCs w:val="22"/>
        </w:rPr>
        <w:t xml:space="preserve"> </w:t>
      </w:r>
    </w:p>
    <w:p w:rsidR="008C0A8B" w:rsidRPr="00884746" w:rsidRDefault="008C0A8B" w:rsidP="008C0A8B">
      <w:pPr>
        <w:jc w:val="both"/>
        <w:rPr>
          <w:rFonts w:ascii="Verdana" w:hAnsi="Verdana"/>
          <w:b/>
          <w:sz w:val="22"/>
          <w:szCs w:val="22"/>
        </w:rPr>
      </w:pPr>
    </w:p>
    <w:p w:rsidR="008C0A8B" w:rsidRDefault="008C0A8B" w:rsidP="008C0A8B">
      <w:pPr>
        <w:jc w:val="both"/>
        <w:rPr>
          <w:rFonts w:ascii="Verdana" w:hAnsi="Verdana"/>
          <w:b/>
        </w:rPr>
      </w:pPr>
      <w:r w:rsidRPr="00647644">
        <w:rPr>
          <w:rFonts w:ascii="Verdana" w:hAnsi="Verdana"/>
          <w:b/>
        </w:rPr>
        <w:t xml:space="preserve"> </w:t>
      </w:r>
    </w:p>
    <w:p w:rsidR="008C0A8B" w:rsidRDefault="008C0A8B" w:rsidP="008C0A8B">
      <w:pPr>
        <w:jc w:val="both"/>
        <w:rPr>
          <w:rFonts w:ascii="Verdana" w:hAnsi="Verdana"/>
          <w:b/>
        </w:rPr>
      </w:pPr>
    </w:p>
    <w:p w:rsidR="008C0A8B" w:rsidRPr="00647644" w:rsidRDefault="008C0A8B" w:rsidP="008C0A8B">
      <w:pPr>
        <w:jc w:val="both"/>
        <w:rPr>
          <w:rFonts w:ascii="Verdana" w:hAnsi="Verdana"/>
          <w:b/>
        </w:rPr>
      </w:pPr>
    </w:p>
    <w:p w:rsidR="008C0A8B" w:rsidRPr="00647644" w:rsidRDefault="008C0A8B" w:rsidP="008C0A8B">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w:t>
      </w:r>
      <w:r w:rsidR="00DB3FE1" w:rsidRPr="00647644">
        <w:rPr>
          <w:rFonts w:ascii="Verdana" w:hAnsi="Verdana"/>
          <w:sz w:val="24"/>
          <w:szCs w:val="24"/>
        </w:rPr>
        <w:t>Miguel Portuguez</w:t>
      </w:r>
      <w:r w:rsidRPr="00647644">
        <w:rPr>
          <w:rFonts w:ascii="Verdana" w:hAnsi="Verdana"/>
          <w:sz w:val="24"/>
          <w:szCs w:val="24"/>
        </w:rPr>
        <w:t xml:space="preserve"> Méndez </w:t>
      </w:r>
    </w:p>
    <w:p w:rsidR="008C0A8B" w:rsidRDefault="008C0A8B" w:rsidP="008C0A8B">
      <w:pPr>
        <w:pStyle w:val="Ttulo2"/>
        <w:jc w:val="center"/>
        <w:rPr>
          <w:rFonts w:ascii="Verdana" w:hAnsi="Verdana" w:cs="Times New Roman"/>
          <w:sz w:val="24"/>
          <w:szCs w:val="24"/>
        </w:rPr>
      </w:pPr>
      <w:r w:rsidRPr="00647644">
        <w:rPr>
          <w:rFonts w:ascii="Verdana" w:hAnsi="Verdana" w:cs="Times New Roman"/>
          <w:sz w:val="24"/>
          <w:szCs w:val="24"/>
        </w:rPr>
        <w:t>Presidente</w:t>
      </w:r>
    </w:p>
    <w:p w:rsidR="008C0A8B" w:rsidRPr="00884746" w:rsidRDefault="008C0A8B" w:rsidP="008C0A8B"/>
    <w:p w:rsidR="008C0A8B" w:rsidRPr="00647644" w:rsidRDefault="008C0A8B" w:rsidP="008C0A8B">
      <w:pPr>
        <w:pStyle w:val="Ttulo1"/>
        <w:rPr>
          <w:rFonts w:ascii="Verdana" w:hAnsi="Verdana"/>
          <w:sz w:val="24"/>
          <w:szCs w:val="24"/>
        </w:rPr>
      </w:pPr>
    </w:p>
    <w:p w:rsidR="008C0A8B" w:rsidRPr="00647644" w:rsidRDefault="008C0A8B" w:rsidP="008C0A8B">
      <w:pPr>
        <w:pStyle w:val="Ttulo1"/>
        <w:rPr>
          <w:rFonts w:ascii="Verdana" w:hAnsi="Verdana"/>
          <w:sz w:val="24"/>
          <w:szCs w:val="24"/>
        </w:rPr>
      </w:pPr>
    </w:p>
    <w:p w:rsidR="008C0A8B" w:rsidRPr="00647644" w:rsidRDefault="008C0A8B" w:rsidP="008C0A8B">
      <w:pPr>
        <w:pStyle w:val="Ttulo1"/>
        <w:rPr>
          <w:rFonts w:ascii="Verdana" w:hAnsi="Verdana"/>
          <w:sz w:val="24"/>
          <w:szCs w:val="24"/>
        </w:rPr>
      </w:pPr>
      <w:r w:rsidRPr="00647644">
        <w:rPr>
          <w:rFonts w:ascii="Verdana" w:hAnsi="Verdana"/>
          <w:sz w:val="24"/>
          <w:szCs w:val="24"/>
        </w:rPr>
        <w:t xml:space="preserve">Licda.  Marta Luz Pérez Peláez            </w:t>
      </w:r>
      <w:r w:rsidR="00B22399">
        <w:rPr>
          <w:rFonts w:ascii="Verdana" w:hAnsi="Verdana"/>
          <w:sz w:val="24"/>
          <w:szCs w:val="24"/>
        </w:rPr>
        <w:t>Lic</w:t>
      </w:r>
      <w:r>
        <w:rPr>
          <w:rFonts w:ascii="Verdana" w:hAnsi="Verdana"/>
          <w:sz w:val="24"/>
          <w:szCs w:val="24"/>
        </w:rPr>
        <w:t xml:space="preserve">. </w:t>
      </w:r>
      <w:r w:rsidR="00B22399">
        <w:rPr>
          <w:rFonts w:ascii="Verdana" w:hAnsi="Verdana"/>
          <w:sz w:val="24"/>
          <w:szCs w:val="24"/>
        </w:rPr>
        <w:t>Mario Quesada Aguirre</w:t>
      </w:r>
    </w:p>
    <w:p w:rsidR="008C0A8B" w:rsidRPr="00647644" w:rsidRDefault="008C0A8B" w:rsidP="008C0A8B">
      <w:pPr>
        <w:ind w:left="708" w:firstLine="708"/>
        <w:rPr>
          <w:rFonts w:ascii="Verdana" w:hAnsi="Verdana"/>
          <w:b/>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527E85" w:rsidRDefault="00527E85"/>
    <w:sectPr w:rsidR="00527E85" w:rsidSect="00527E85">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2B" w:rsidRDefault="00FF392B">
      <w:r>
        <w:separator/>
      </w:r>
    </w:p>
  </w:endnote>
  <w:endnote w:type="continuationSeparator" w:id="0">
    <w:p w:rsidR="00FF392B" w:rsidRDefault="00FF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85" w:rsidRDefault="00527E85" w:rsidP="00527E85">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sidR="00BD0245">
      <w:rPr>
        <w:rStyle w:val="Nmerodepgina"/>
        <w:rFonts w:eastAsia="SimSun"/>
        <w:noProof/>
      </w:rPr>
      <w:t>6</w:t>
    </w:r>
    <w:r>
      <w:rPr>
        <w:rStyle w:val="Nmerodepgina"/>
        <w:rFonts w:eastAsia="SimSun"/>
      </w:rPr>
      <w:fldChar w:fldCharType="end"/>
    </w:r>
  </w:p>
  <w:p w:rsidR="00527E85" w:rsidRDefault="00527E85" w:rsidP="00527E8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85" w:rsidRPr="002801F2" w:rsidRDefault="00527E85" w:rsidP="00B4497B">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2B" w:rsidRDefault="00FF392B">
      <w:r>
        <w:separator/>
      </w:r>
    </w:p>
  </w:footnote>
  <w:footnote w:type="continuationSeparator" w:id="0">
    <w:p w:rsidR="00FF392B" w:rsidRDefault="00FF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953C5"/>
    <w:multiLevelType w:val="singleLevel"/>
    <w:tmpl w:val="ABA456E6"/>
    <w:lvl w:ilvl="0">
      <w:start w:val="1"/>
      <w:numFmt w:val="decimal"/>
      <w:lvlText w:val="%1."/>
      <w:legacy w:legacy="1" w:legacySpace="0" w:legacyIndent="360"/>
      <w:lvlJc w:val="left"/>
      <w:rPr>
        <w:rFonts w:ascii="Palatino Linotype" w:hAnsi="Palatino Linotype" w:hint="default"/>
      </w:rPr>
    </w:lvl>
  </w:abstractNum>
  <w:abstractNum w:abstractNumId="1" w15:restartNumberingAfterBreak="0">
    <w:nsid w:val="3F665E12"/>
    <w:multiLevelType w:val="singleLevel"/>
    <w:tmpl w:val="ABA456E6"/>
    <w:lvl w:ilvl="0">
      <w:start w:val="1"/>
      <w:numFmt w:val="decimal"/>
      <w:lvlText w:val="%1."/>
      <w:legacy w:legacy="1" w:legacySpace="0" w:legacyIndent="360"/>
      <w:lvlJc w:val="left"/>
      <w:rPr>
        <w:rFonts w:ascii="Palatino Linotype" w:hAnsi="Palatino Linotype" w:hint="default"/>
      </w:rPr>
    </w:lvl>
  </w:abstractNum>
  <w:num w:numId="1">
    <w:abstractNumId w:val="1"/>
  </w:num>
  <w:num w:numId="2">
    <w:abstractNumId w:val="1"/>
    <w:lvlOverride w:ilvl="0">
      <w:lvl w:ilvl="0">
        <w:start w:val="2"/>
        <w:numFmt w:val="decimal"/>
        <w:lvlText w:val="%1."/>
        <w:legacy w:legacy="1" w:legacySpace="0" w:legacyIndent="360"/>
        <w:lvlJc w:val="left"/>
        <w:rPr>
          <w:rFonts w:ascii="Palatino Linotype" w:hAnsi="Palatino Linotype" w:hint="default"/>
        </w:rPr>
      </w:lvl>
    </w:lvlOverride>
  </w:num>
  <w:num w:numId="3">
    <w:abstractNumId w:val="1"/>
    <w:lvlOverride w:ilvl="0">
      <w:lvl w:ilvl="0">
        <w:start w:val="3"/>
        <w:numFmt w:val="decimal"/>
        <w:lvlText w:val="%1."/>
        <w:legacy w:legacy="1" w:legacySpace="0" w:legacyIndent="360"/>
        <w:lvlJc w:val="left"/>
        <w:rPr>
          <w:rFonts w:ascii="Palatino Linotype" w:hAnsi="Palatino Linotype" w:hint="default"/>
        </w:rPr>
      </w:lvl>
    </w:lvlOverride>
  </w:num>
  <w:num w:numId="4">
    <w:abstractNumId w:val="1"/>
    <w:lvlOverride w:ilvl="0">
      <w:lvl w:ilvl="0">
        <w:start w:val="4"/>
        <w:numFmt w:val="decimal"/>
        <w:lvlText w:val="%1."/>
        <w:legacy w:legacy="1" w:legacySpace="0" w:legacyIndent="360"/>
        <w:lvlJc w:val="left"/>
        <w:rPr>
          <w:rFonts w:ascii="Palatino Linotype" w:hAnsi="Palatino Linotype" w:hint="default"/>
        </w:rPr>
      </w:lvl>
    </w:lvlOverride>
  </w:num>
  <w:num w:numId="5">
    <w:abstractNumId w:val="1"/>
    <w:lvlOverride w:ilvl="0">
      <w:lvl w:ilvl="0">
        <w:start w:val="5"/>
        <w:numFmt w:val="decimal"/>
        <w:lvlText w:val="%1."/>
        <w:legacy w:legacy="1" w:legacySpace="0" w:legacyIndent="360"/>
        <w:lvlJc w:val="left"/>
        <w:rPr>
          <w:rFonts w:ascii="Palatino Linotype" w:hAnsi="Palatino Linotype" w:hint="default"/>
        </w:rPr>
      </w:lvl>
    </w:lvlOverride>
  </w:num>
  <w:num w:numId="6">
    <w:abstractNumId w:val="1"/>
    <w:lvlOverride w:ilvl="0">
      <w:lvl w:ilvl="0">
        <w:start w:val="6"/>
        <w:numFmt w:val="decimal"/>
        <w:lvlText w:val="%1."/>
        <w:legacy w:legacy="1" w:legacySpace="0" w:legacyIndent="360"/>
        <w:lvlJc w:val="left"/>
        <w:rPr>
          <w:rFonts w:ascii="Palatino Linotype" w:hAnsi="Palatino Linotype" w:hint="default"/>
        </w:rPr>
      </w:lvl>
    </w:lvlOverride>
  </w:num>
  <w:num w:numId="7">
    <w:abstractNumId w:val="1"/>
    <w:lvlOverride w:ilvl="0">
      <w:lvl w:ilvl="0">
        <w:start w:val="7"/>
        <w:numFmt w:val="decimal"/>
        <w:lvlText w:val="%1."/>
        <w:legacy w:legacy="1" w:legacySpace="0" w:legacyIndent="360"/>
        <w:lvlJc w:val="left"/>
        <w:rPr>
          <w:rFonts w:ascii="Palatino Linotype" w:hAnsi="Palatino Linotype" w:hint="default"/>
        </w:rPr>
      </w:lvl>
    </w:lvlOverride>
  </w:num>
  <w:num w:numId="8">
    <w:abstractNumId w:val="1"/>
    <w:lvlOverride w:ilvl="0">
      <w:lvl w:ilvl="0">
        <w:start w:val="8"/>
        <w:numFmt w:val="decimal"/>
        <w:lvlText w:val="%1."/>
        <w:legacy w:legacy="1" w:legacySpace="0" w:legacyIndent="360"/>
        <w:lvlJc w:val="left"/>
        <w:rPr>
          <w:rFonts w:ascii="Palatino Linotype" w:hAnsi="Palatino Linotype" w:hint="default"/>
        </w:rPr>
      </w:lvl>
    </w:lvlOverride>
  </w:num>
  <w:num w:numId="9">
    <w:abstractNumId w:val="1"/>
    <w:lvlOverride w:ilvl="0">
      <w:lvl w:ilvl="0">
        <w:start w:val="9"/>
        <w:numFmt w:val="decimal"/>
        <w:lvlText w:val="%1."/>
        <w:legacy w:legacy="1" w:legacySpace="0" w:legacyIndent="360"/>
        <w:lvlJc w:val="left"/>
        <w:rPr>
          <w:rFonts w:ascii="Palatino Linotype" w:hAnsi="Palatino Linotype" w:hint="default"/>
        </w:rPr>
      </w:lvl>
    </w:lvlOverride>
  </w:num>
  <w:num w:numId="10">
    <w:abstractNumId w:val="1"/>
    <w:lvlOverride w:ilvl="0">
      <w:lvl w:ilvl="0">
        <w:start w:val="10"/>
        <w:numFmt w:val="decimal"/>
        <w:lvlText w:val="%1."/>
        <w:legacy w:legacy="1" w:legacySpace="0" w:legacyIndent="360"/>
        <w:lvlJc w:val="left"/>
        <w:rPr>
          <w:rFonts w:ascii="Palatino Linotype" w:hAnsi="Palatino Linotype" w:hint="default"/>
        </w:rPr>
      </w:lvl>
    </w:lvlOverride>
  </w:num>
  <w:num w:numId="11">
    <w:abstractNumId w:val="1"/>
    <w:lvlOverride w:ilvl="0">
      <w:lvl w:ilvl="0">
        <w:start w:val="11"/>
        <w:numFmt w:val="decimal"/>
        <w:lvlText w:val="%1."/>
        <w:legacy w:legacy="1" w:legacySpace="0" w:legacyIndent="360"/>
        <w:lvlJc w:val="left"/>
        <w:rPr>
          <w:rFonts w:ascii="Palatino Linotype" w:hAnsi="Palatino Linotype" w:hint="default"/>
        </w:rPr>
      </w:lvl>
    </w:lvlOverride>
  </w:num>
  <w:num w:numId="12">
    <w:abstractNumId w:val="1"/>
    <w:lvlOverride w:ilvl="0">
      <w:lvl w:ilvl="0">
        <w:start w:val="12"/>
        <w:numFmt w:val="decimal"/>
        <w:lvlText w:val="%1."/>
        <w:legacy w:legacy="1" w:legacySpace="0" w:legacyIndent="360"/>
        <w:lvlJc w:val="left"/>
        <w:rPr>
          <w:rFonts w:ascii="Palatino Linotype" w:hAnsi="Palatino Linotype" w:hint="default"/>
        </w:rPr>
      </w:lvl>
    </w:lvlOverride>
  </w:num>
  <w:num w:numId="13">
    <w:abstractNumId w:val="0"/>
  </w:num>
  <w:num w:numId="14">
    <w:abstractNumId w:val="0"/>
    <w:lvlOverride w:ilvl="0">
      <w:lvl w:ilvl="0">
        <w:start w:val="2"/>
        <w:numFmt w:val="decimal"/>
        <w:lvlText w:val="%1."/>
        <w:legacy w:legacy="1" w:legacySpace="0" w:legacyIndent="360"/>
        <w:lvlJc w:val="left"/>
        <w:rPr>
          <w:rFonts w:ascii="Palatino Linotype" w:hAnsi="Palatino Linotype" w:hint="default"/>
        </w:rPr>
      </w:lvl>
    </w:lvlOverride>
  </w:num>
  <w:num w:numId="15">
    <w:abstractNumId w:val="0"/>
    <w:lvlOverride w:ilvl="0">
      <w:lvl w:ilvl="0">
        <w:start w:val="3"/>
        <w:numFmt w:val="decimal"/>
        <w:lvlText w:val="%1."/>
        <w:legacy w:legacy="1" w:legacySpace="0" w:legacyIndent="360"/>
        <w:lvlJc w:val="left"/>
        <w:rPr>
          <w:rFonts w:ascii="Palatino Linotype" w:hAnsi="Palatino Linotype" w:hint="default"/>
        </w:rPr>
      </w:lvl>
    </w:lvlOverride>
  </w:num>
  <w:num w:numId="16">
    <w:abstractNumId w:val="0"/>
    <w:lvlOverride w:ilvl="0">
      <w:lvl w:ilvl="0">
        <w:start w:val="4"/>
        <w:numFmt w:val="decimal"/>
        <w:lvlText w:val="%1."/>
        <w:legacy w:legacy="1" w:legacySpace="0" w:legacyIndent="360"/>
        <w:lvlJc w:val="left"/>
        <w:rPr>
          <w:rFonts w:ascii="Palatino Linotype" w:hAnsi="Palatino Linotype" w:hint="default"/>
        </w:rPr>
      </w:lvl>
    </w:lvlOverride>
  </w:num>
  <w:num w:numId="17">
    <w:abstractNumId w:val="0"/>
    <w:lvlOverride w:ilvl="0">
      <w:lvl w:ilvl="0">
        <w:start w:val="5"/>
        <w:numFmt w:val="decimal"/>
        <w:lvlText w:val="%1."/>
        <w:legacy w:legacy="1" w:legacySpace="0" w:legacyIndent="360"/>
        <w:lvlJc w:val="left"/>
        <w:rPr>
          <w:rFonts w:ascii="Palatino Linotype" w:hAnsi="Palatino Linotyp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8B"/>
    <w:rsid w:val="00015CBB"/>
    <w:rsid w:val="000162E7"/>
    <w:rsid w:val="00081AF0"/>
    <w:rsid w:val="000B7642"/>
    <w:rsid w:val="000E719F"/>
    <w:rsid w:val="001330ED"/>
    <w:rsid w:val="001344CA"/>
    <w:rsid w:val="0015492D"/>
    <w:rsid w:val="00227D23"/>
    <w:rsid w:val="00227E0A"/>
    <w:rsid w:val="00233551"/>
    <w:rsid w:val="0024079A"/>
    <w:rsid w:val="00246FCC"/>
    <w:rsid w:val="00252EF5"/>
    <w:rsid w:val="002723E0"/>
    <w:rsid w:val="00286599"/>
    <w:rsid w:val="002A382F"/>
    <w:rsid w:val="002C3913"/>
    <w:rsid w:val="002C4F92"/>
    <w:rsid w:val="002E0F64"/>
    <w:rsid w:val="00306E77"/>
    <w:rsid w:val="0036377B"/>
    <w:rsid w:val="0036724F"/>
    <w:rsid w:val="003703E5"/>
    <w:rsid w:val="00385D9C"/>
    <w:rsid w:val="003B04A7"/>
    <w:rsid w:val="003B5069"/>
    <w:rsid w:val="003F1429"/>
    <w:rsid w:val="0040749E"/>
    <w:rsid w:val="0044538F"/>
    <w:rsid w:val="0044623D"/>
    <w:rsid w:val="00457E0A"/>
    <w:rsid w:val="00485B6D"/>
    <w:rsid w:val="00493C79"/>
    <w:rsid w:val="00516428"/>
    <w:rsid w:val="005229B8"/>
    <w:rsid w:val="00527E85"/>
    <w:rsid w:val="0053523D"/>
    <w:rsid w:val="005531D9"/>
    <w:rsid w:val="00585258"/>
    <w:rsid w:val="00591AB0"/>
    <w:rsid w:val="005B0F8B"/>
    <w:rsid w:val="005B3DE6"/>
    <w:rsid w:val="005C703F"/>
    <w:rsid w:val="00603A20"/>
    <w:rsid w:val="00640649"/>
    <w:rsid w:val="00640D20"/>
    <w:rsid w:val="00643C1B"/>
    <w:rsid w:val="00663449"/>
    <w:rsid w:val="00681E53"/>
    <w:rsid w:val="006A6BBB"/>
    <w:rsid w:val="006C7353"/>
    <w:rsid w:val="006E061B"/>
    <w:rsid w:val="00711DC0"/>
    <w:rsid w:val="007127A1"/>
    <w:rsid w:val="0076553A"/>
    <w:rsid w:val="007A01CC"/>
    <w:rsid w:val="007D21AF"/>
    <w:rsid w:val="007F1A22"/>
    <w:rsid w:val="007F3FA8"/>
    <w:rsid w:val="0081387F"/>
    <w:rsid w:val="008819DC"/>
    <w:rsid w:val="008A6061"/>
    <w:rsid w:val="008C0A8B"/>
    <w:rsid w:val="00936EF1"/>
    <w:rsid w:val="00945D5C"/>
    <w:rsid w:val="00947936"/>
    <w:rsid w:val="00993F81"/>
    <w:rsid w:val="00A13D85"/>
    <w:rsid w:val="00A419AE"/>
    <w:rsid w:val="00A41D3F"/>
    <w:rsid w:val="00A828D3"/>
    <w:rsid w:val="00A95D25"/>
    <w:rsid w:val="00B22399"/>
    <w:rsid w:val="00B4497B"/>
    <w:rsid w:val="00B5374E"/>
    <w:rsid w:val="00B654E0"/>
    <w:rsid w:val="00BD0245"/>
    <w:rsid w:val="00BF156C"/>
    <w:rsid w:val="00C00B23"/>
    <w:rsid w:val="00C06B86"/>
    <w:rsid w:val="00C17EFE"/>
    <w:rsid w:val="00C90314"/>
    <w:rsid w:val="00C9539D"/>
    <w:rsid w:val="00CA125E"/>
    <w:rsid w:val="00CC0B06"/>
    <w:rsid w:val="00CF0CA6"/>
    <w:rsid w:val="00D13539"/>
    <w:rsid w:val="00D308E4"/>
    <w:rsid w:val="00D3334F"/>
    <w:rsid w:val="00D363F3"/>
    <w:rsid w:val="00D5038C"/>
    <w:rsid w:val="00D74A6E"/>
    <w:rsid w:val="00D90853"/>
    <w:rsid w:val="00D91D1B"/>
    <w:rsid w:val="00D92809"/>
    <w:rsid w:val="00DB1026"/>
    <w:rsid w:val="00DB3FE1"/>
    <w:rsid w:val="00DD2A48"/>
    <w:rsid w:val="00E00B9D"/>
    <w:rsid w:val="00E82B6E"/>
    <w:rsid w:val="00EA3991"/>
    <w:rsid w:val="00EC545C"/>
    <w:rsid w:val="00EE351C"/>
    <w:rsid w:val="00F062A1"/>
    <w:rsid w:val="00F23A62"/>
    <w:rsid w:val="00F2421A"/>
    <w:rsid w:val="00F70870"/>
    <w:rsid w:val="00F72550"/>
    <w:rsid w:val="00F8323C"/>
    <w:rsid w:val="00FC4A7B"/>
    <w:rsid w:val="00FF39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2A66"/>
  <w15:docId w15:val="{F549F803-75FF-484C-BC47-367D5E2F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A8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C0A8B"/>
    <w:pPr>
      <w:keepNext/>
      <w:jc w:val="center"/>
      <w:outlineLvl w:val="0"/>
    </w:pPr>
    <w:rPr>
      <w:sz w:val="28"/>
      <w:szCs w:val="20"/>
      <w:lang w:val="es-ES_tradnl" w:eastAsia="es-MX"/>
    </w:rPr>
  </w:style>
  <w:style w:type="paragraph" w:styleId="Ttulo2">
    <w:name w:val="heading 2"/>
    <w:basedOn w:val="Normal"/>
    <w:next w:val="Normal"/>
    <w:link w:val="Ttulo2Car"/>
    <w:qFormat/>
    <w:rsid w:val="008C0A8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A8B"/>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8C0A8B"/>
    <w:rPr>
      <w:rFonts w:ascii="Arial" w:eastAsia="Times New Roman" w:hAnsi="Arial" w:cs="Arial"/>
      <w:b/>
      <w:bCs/>
      <w:i/>
      <w:iCs/>
      <w:sz w:val="28"/>
      <w:szCs w:val="28"/>
      <w:lang w:val="es-ES" w:eastAsia="es-ES"/>
    </w:rPr>
  </w:style>
  <w:style w:type="paragraph" w:styleId="Piedepgina">
    <w:name w:val="footer"/>
    <w:basedOn w:val="Normal"/>
    <w:link w:val="PiedepginaCar"/>
    <w:rsid w:val="008C0A8B"/>
    <w:pPr>
      <w:tabs>
        <w:tab w:val="center" w:pos="4252"/>
        <w:tab w:val="right" w:pos="8504"/>
      </w:tabs>
    </w:pPr>
  </w:style>
  <w:style w:type="character" w:customStyle="1" w:styleId="PiedepginaCar">
    <w:name w:val="Pie de página Car"/>
    <w:basedOn w:val="Fuentedeprrafopredeter"/>
    <w:link w:val="Piedepgina"/>
    <w:rsid w:val="008C0A8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C0A8B"/>
  </w:style>
  <w:style w:type="paragraph" w:styleId="NormalWeb">
    <w:name w:val="Normal (Web)"/>
    <w:basedOn w:val="Normal"/>
    <w:rsid w:val="008C0A8B"/>
    <w:pPr>
      <w:spacing w:before="100" w:beforeAutospacing="1" w:after="100" w:afterAutospacing="1"/>
    </w:pPr>
  </w:style>
  <w:style w:type="paragraph" w:styleId="Textoindependiente">
    <w:name w:val="Body Text"/>
    <w:basedOn w:val="Normal"/>
    <w:link w:val="TextoindependienteCar"/>
    <w:rsid w:val="008C0A8B"/>
    <w:pPr>
      <w:spacing w:after="120"/>
    </w:pPr>
    <w:rPr>
      <w:rFonts w:eastAsia="SimSun"/>
    </w:rPr>
  </w:style>
  <w:style w:type="character" w:customStyle="1" w:styleId="TextoindependienteCar">
    <w:name w:val="Texto independiente Car"/>
    <w:basedOn w:val="Fuentedeprrafopredeter"/>
    <w:link w:val="Textoindependiente"/>
    <w:rsid w:val="008C0A8B"/>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485B6D"/>
    <w:pPr>
      <w:tabs>
        <w:tab w:val="center" w:pos="4419"/>
        <w:tab w:val="right" w:pos="8838"/>
      </w:tabs>
    </w:pPr>
  </w:style>
  <w:style w:type="character" w:customStyle="1" w:styleId="EncabezadoCar">
    <w:name w:val="Encabezado Car"/>
    <w:basedOn w:val="Fuentedeprrafopredeter"/>
    <w:link w:val="Encabezado"/>
    <w:uiPriority w:val="99"/>
    <w:rsid w:val="00485B6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A12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5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5622</Words>
  <Characters>30926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Gerardo Vargas</cp:lastModifiedBy>
  <cp:revision>2</cp:revision>
  <cp:lastPrinted>2016-04-20T21:43:00Z</cp:lastPrinted>
  <dcterms:created xsi:type="dcterms:W3CDTF">2016-08-05T19:52:00Z</dcterms:created>
  <dcterms:modified xsi:type="dcterms:W3CDTF">2016-08-05T19:52:00Z</dcterms:modified>
</cp:coreProperties>
</file>